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left"/>
        <w:outlineLvl w:val="9"/>
        <w:rPr>
          <w:rFonts w:hint="eastAsia" w:ascii="方正小标宋简体" w:hAnsi="宋体" w:eastAsia="方正小标宋简体"/>
          <w:szCs w:val="21"/>
          <w:lang w:val="en-US" w:eastAsia="zh-CN"/>
        </w:rPr>
      </w:pPr>
      <w:bookmarkStart w:id="0" w:name="_Toc15306267"/>
    </w:p>
    <w:p>
      <w:pPr>
        <w:spacing w:line="600" w:lineRule="exact"/>
        <w:jc w:val="center"/>
        <w:outlineLvl w:val="9"/>
        <w:rPr>
          <w:rFonts w:ascii="方正小标宋简体" w:hAnsi="宋体" w:eastAsia="方正小标宋简体"/>
          <w:sz w:val="72"/>
          <w:szCs w:val="72"/>
        </w:rPr>
      </w:pPr>
    </w:p>
    <w:p>
      <w:pPr>
        <w:spacing w:line="600" w:lineRule="exact"/>
        <w:jc w:val="center"/>
        <w:outlineLvl w:val="9"/>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96475"/>
      <w:bookmarkStart w:id="2" w:name="_Toc32126"/>
      <w:bookmarkStart w:id="3" w:name="_Toc15377193"/>
      <w:bookmarkStart w:id="4" w:name="_Toc15378441"/>
      <w:bookmarkStart w:id="5" w:name="_Toc15377425"/>
      <w:bookmarkStart w:id="6" w:name="_Toc15396597"/>
      <w:r>
        <w:rPr>
          <w:rFonts w:hint="eastAsia" w:ascii="方正小标宋简体" w:hAnsi="方正小标宋简体" w:eastAsia="方正小标宋简体" w:cs="方正小标宋简体"/>
          <w:sz w:val="72"/>
          <w:szCs w:val="72"/>
        </w:rPr>
        <w:t>2022年度</w:t>
      </w:r>
      <w:bookmarkEnd w:id="1"/>
      <w:bookmarkEnd w:id="2"/>
      <w:bookmarkEnd w:id="3"/>
      <w:bookmarkEnd w:id="4"/>
      <w:bookmarkEnd w:id="5"/>
      <w:bookmarkEnd w:id="6"/>
    </w:p>
    <w:bookmarkEnd w:id="0"/>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7" w:name="_Toc15306268"/>
      <w:bookmarkStart w:id="8" w:name="_Toc15377194"/>
      <w:bookmarkStart w:id="9" w:name="_Toc15396598"/>
      <w:bookmarkStart w:id="10" w:name="_Toc15378442"/>
      <w:bookmarkStart w:id="11" w:name="_Toc15377426"/>
      <w:bookmarkStart w:id="12" w:name="_Toc14170"/>
      <w:bookmarkStart w:id="13" w:name="_Toc15396476"/>
      <w:r>
        <w:rPr>
          <w:rFonts w:hint="eastAsia" w:ascii="方正小标宋简体" w:hAnsi="方正小标宋简体" w:eastAsia="方正小标宋简体" w:cs="方正小标宋简体"/>
          <w:sz w:val="72"/>
          <w:szCs w:val="72"/>
        </w:rPr>
        <w:t>四川省第三退役军人医院（四川省退役军人养护院）单位决算</w:t>
      </w:r>
      <w:bookmarkEnd w:id="7"/>
      <w:bookmarkEnd w:id="8"/>
      <w:bookmarkEnd w:id="9"/>
      <w:bookmarkEnd w:id="10"/>
      <w:bookmarkEnd w:id="11"/>
      <w:bookmarkEnd w:id="12"/>
      <w:bookmarkEnd w:id="13"/>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pStyle w:val="11"/>
      </w:pPr>
      <w:r>
        <w:rPr>
          <w:rFonts w:hint="eastAsia"/>
        </w:rPr>
        <w:t>公开时间：2023年9月6日</w:t>
      </w:r>
    </w:p>
    <w:p>
      <w:pPr>
        <w:keepNext w:val="0"/>
        <w:keepLines w:val="0"/>
        <w:pageBreakBefore w:val="0"/>
        <w:kinsoku/>
        <w:wordWrap/>
        <w:overflowPunct/>
        <w:topLinePunct w:val="0"/>
        <w:autoSpaceDE/>
        <w:autoSpaceDN/>
        <w:bidi w:val="0"/>
        <w:adjustRightInd/>
        <w:snapToGrid/>
        <w:spacing w:before="0" w:after="0" w:afterLines="0" w:line="440" w:lineRule="exact"/>
        <w:ind w:left="0" w:leftChars="0" w:right="0" w:rightChars="0" w:firstLine="0" w:firstLineChars="0"/>
        <w:jc w:val="center"/>
        <w:textAlignment w:val="auto"/>
        <w:rPr>
          <w:rFonts w:hint="eastAsia" w:ascii="宋体" w:hAnsi="宋体" w:eastAsia="宋体" w:cs="宋体"/>
          <w:b/>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"1-2" \h \u </w:instrText>
      </w:r>
      <w:r>
        <w:rPr>
          <w:rFonts w:hint="eastAsia" w:ascii="宋体" w:hAnsi="宋体" w:eastAsia="宋体" w:cs="宋体"/>
          <w:sz w:val="24"/>
          <w:szCs w:val="24"/>
        </w:rPr>
        <w:fldChar w:fldCharType="separate"/>
      </w:r>
    </w:p>
    <w:p>
      <w:pPr>
        <w:pStyle w:val="32"/>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b/>
          <w:sz w:val="24"/>
          <w:szCs w:val="24"/>
        </w:rPr>
      </w:pPr>
    </w:p>
    <w:p>
      <w:pPr>
        <w:pStyle w:val="32"/>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b/>
          <w:sz w:val="24"/>
          <w:szCs w:val="24"/>
        </w:rPr>
      </w:pP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HYPERLINK \l _Toc6986 </w:instrText>
      </w:r>
      <w:r>
        <w:rPr>
          <w:rFonts w:hint="eastAsia" w:ascii="仿宋" w:hAnsi="仿宋" w:eastAsia="仿宋" w:cs="仿宋"/>
          <w:b/>
          <w:sz w:val="24"/>
          <w:szCs w:val="24"/>
        </w:rPr>
        <w:fldChar w:fldCharType="separate"/>
      </w:r>
      <w:r>
        <w:rPr>
          <w:rFonts w:hint="eastAsia" w:ascii="仿宋" w:hAnsi="仿宋" w:eastAsia="仿宋" w:cs="仿宋"/>
          <w:b/>
          <w:sz w:val="24"/>
          <w:szCs w:val="24"/>
        </w:rPr>
        <w:t>第一部分 单位</w:t>
      </w:r>
      <w:r>
        <w:rPr>
          <w:rFonts w:hint="eastAsia" w:ascii="仿宋" w:hAnsi="仿宋" w:eastAsia="仿宋" w:cs="仿宋"/>
          <w:b/>
          <w:bCs w:val="0"/>
          <w:sz w:val="24"/>
          <w:szCs w:val="24"/>
        </w:rPr>
        <w:t>概况</w:t>
      </w:r>
      <w:r>
        <w:rPr>
          <w:rFonts w:hint="eastAsia" w:ascii="仿宋" w:hAnsi="仿宋" w:eastAsia="仿宋" w:cs="仿宋"/>
          <w:b/>
          <w:sz w:val="24"/>
          <w:szCs w:val="24"/>
        </w:rPr>
        <w:tab/>
      </w:r>
      <w:bookmarkStart w:id="102" w:name="_GoBack"/>
      <w:bookmarkEnd w:id="102"/>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PAGEREF _Toc6986 \h </w:instrText>
      </w:r>
      <w:r>
        <w:rPr>
          <w:rFonts w:hint="eastAsia" w:ascii="仿宋" w:hAnsi="仿宋" w:eastAsia="仿宋" w:cs="仿宋"/>
          <w:b/>
          <w:sz w:val="24"/>
          <w:szCs w:val="24"/>
        </w:rPr>
        <w:fldChar w:fldCharType="separate"/>
      </w:r>
      <w:r>
        <w:rPr>
          <w:rFonts w:hint="eastAsia" w:ascii="仿宋" w:hAnsi="仿宋" w:eastAsia="仿宋" w:cs="仿宋"/>
          <w:b/>
          <w:sz w:val="24"/>
          <w:szCs w:val="24"/>
        </w:rPr>
        <w:t>4</w:t>
      </w:r>
      <w:r>
        <w:rPr>
          <w:rFonts w:hint="eastAsia" w:ascii="仿宋" w:hAnsi="仿宋" w:eastAsia="仿宋" w:cs="仿宋"/>
          <w:b/>
          <w:sz w:val="24"/>
          <w:szCs w:val="24"/>
        </w:rPr>
        <w:fldChar w:fldCharType="end"/>
      </w:r>
      <w:r>
        <w:rPr>
          <w:rFonts w:hint="eastAsia" w:ascii="仿宋" w:hAnsi="仿宋" w:eastAsia="仿宋" w:cs="仿宋"/>
          <w:b/>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_Toc3565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一、 主要职责</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_Toc3565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_Toc718 </w:instrText>
      </w:r>
      <w:r>
        <w:rPr>
          <w:rFonts w:hint="eastAsia" w:ascii="宋体" w:hAnsi="宋体" w:eastAsia="宋体" w:cs="宋体"/>
          <w:sz w:val="24"/>
          <w:szCs w:val="24"/>
        </w:rPr>
        <w:fldChar w:fldCharType="separate"/>
      </w:r>
      <w:r>
        <w:rPr>
          <w:rFonts w:hint="eastAsia" w:ascii="宋体" w:hAnsi="宋体" w:eastAsia="宋体" w:cs="宋体"/>
          <w:sz w:val="24"/>
          <w:szCs w:val="24"/>
        </w:rPr>
        <w:t>二、机构设置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_Toc718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2"/>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仿宋" w:hAnsi="仿宋" w:eastAsia="仿宋" w:cs="仿宋"/>
          <w:b/>
          <w:sz w:val="24"/>
          <w:szCs w:val="24"/>
        </w:rPr>
      </w:pP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HYPERLINK \l _Toc13373 </w:instrText>
      </w:r>
      <w:r>
        <w:rPr>
          <w:rFonts w:hint="eastAsia" w:ascii="仿宋" w:hAnsi="仿宋" w:eastAsia="仿宋" w:cs="仿宋"/>
          <w:b/>
          <w:sz w:val="24"/>
          <w:szCs w:val="24"/>
        </w:rPr>
        <w:fldChar w:fldCharType="separate"/>
      </w:r>
      <w:r>
        <w:rPr>
          <w:rFonts w:hint="eastAsia" w:ascii="仿宋" w:hAnsi="仿宋" w:eastAsia="仿宋" w:cs="仿宋"/>
          <w:b/>
          <w:sz w:val="24"/>
          <w:szCs w:val="24"/>
        </w:rPr>
        <w:t>第二部分 2022年度</w:t>
      </w:r>
      <w:r>
        <w:rPr>
          <w:rFonts w:hint="eastAsia" w:ascii="仿宋" w:hAnsi="仿宋" w:eastAsia="仿宋" w:cs="仿宋"/>
          <w:b/>
          <w:bCs/>
          <w:sz w:val="24"/>
          <w:szCs w:val="24"/>
        </w:rPr>
        <w:t>单位决算情况说明</w:t>
      </w:r>
      <w:r>
        <w:rPr>
          <w:rFonts w:hint="eastAsia" w:ascii="仿宋" w:hAnsi="仿宋" w:eastAsia="仿宋" w:cs="仿宋"/>
          <w:b/>
          <w:sz w:val="24"/>
          <w:szCs w:val="24"/>
        </w:rPr>
        <w:tab/>
      </w: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PAGEREF _Toc13373 \h </w:instrText>
      </w:r>
      <w:r>
        <w:rPr>
          <w:rFonts w:hint="eastAsia" w:ascii="仿宋" w:hAnsi="仿宋" w:eastAsia="仿宋" w:cs="仿宋"/>
          <w:b/>
          <w:sz w:val="24"/>
          <w:szCs w:val="24"/>
        </w:rPr>
        <w:fldChar w:fldCharType="separate"/>
      </w:r>
      <w:r>
        <w:rPr>
          <w:rFonts w:hint="eastAsia" w:ascii="仿宋" w:hAnsi="仿宋" w:eastAsia="仿宋" w:cs="仿宋"/>
          <w:b/>
          <w:sz w:val="24"/>
          <w:szCs w:val="24"/>
        </w:rPr>
        <w:t>5</w:t>
      </w:r>
      <w:r>
        <w:rPr>
          <w:rFonts w:hint="eastAsia" w:ascii="仿宋" w:hAnsi="仿宋" w:eastAsia="仿宋" w:cs="仿宋"/>
          <w:b/>
          <w:sz w:val="24"/>
          <w:szCs w:val="24"/>
        </w:rPr>
        <w:fldChar w:fldCharType="end"/>
      </w:r>
      <w:r>
        <w:rPr>
          <w:rFonts w:hint="eastAsia" w:ascii="仿宋" w:hAnsi="仿宋" w:eastAsia="仿宋" w:cs="仿宋"/>
          <w:b/>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_Toc19569 </w:instrText>
      </w:r>
      <w:r>
        <w:rPr>
          <w:rFonts w:hint="eastAsia" w:ascii="宋体" w:hAnsi="宋体" w:eastAsia="宋体" w:cs="宋体"/>
          <w:sz w:val="24"/>
          <w:szCs w:val="24"/>
        </w:rPr>
        <w:fldChar w:fldCharType="separate"/>
      </w:r>
      <w:r>
        <w:rPr>
          <w:rFonts w:hint="eastAsia" w:ascii="宋体" w:hAnsi="宋体" w:eastAsia="宋体" w:cs="宋体"/>
          <w:sz w:val="24"/>
          <w:szCs w:val="24"/>
        </w:rPr>
        <w:t>一、 收入支出决算总体情况说明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_Toc19569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_Toc10304 </w:instrText>
      </w:r>
      <w:r>
        <w:rPr>
          <w:rFonts w:hint="eastAsia" w:ascii="宋体" w:hAnsi="宋体" w:eastAsia="宋体" w:cs="宋体"/>
          <w:sz w:val="24"/>
          <w:szCs w:val="24"/>
        </w:rPr>
        <w:fldChar w:fldCharType="separate"/>
      </w:r>
      <w:r>
        <w:rPr>
          <w:rFonts w:hint="eastAsia" w:ascii="宋体" w:hAnsi="宋体" w:eastAsia="宋体" w:cs="宋体"/>
          <w:sz w:val="24"/>
          <w:szCs w:val="24"/>
        </w:rPr>
        <w:t>二、 收入决算情况说明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_Toc10304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_Toc8162 </w:instrText>
      </w:r>
      <w:r>
        <w:rPr>
          <w:rFonts w:hint="eastAsia" w:ascii="宋体" w:hAnsi="宋体" w:eastAsia="宋体" w:cs="宋体"/>
          <w:sz w:val="24"/>
          <w:szCs w:val="24"/>
        </w:rPr>
        <w:fldChar w:fldCharType="separate"/>
      </w:r>
      <w:r>
        <w:rPr>
          <w:rFonts w:hint="eastAsia" w:ascii="宋体" w:hAnsi="宋体" w:eastAsia="宋体" w:cs="宋体"/>
          <w:sz w:val="24"/>
          <w:szCs w:val="24"/>
        </w:rPr>
        <w:t>三、 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_Toc8162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_Toc13978 </w:instrText>
      </w:r>
      <w:r>
        <w:rPr>
          <w:rFonts w:hint="eastAsia" w:ascii="宋体" w:hAnsi="宋体" w:eastAsia="宋体" w:cs="宋体"/>
          <w:sz w:val="24"/>
          <w:szCs w:val="24"/>
        </w:rPr>
        <w:fldChar w:fldCharType="separate"/>
      </w:r>
      <w:r>
        <w:rPr>
          <w:rFonts w:hint="eastAsia" w:ascii="宋体" w:hAnsi="宋体" w:eastAsia="宋体" w:cs="宋体"/>
          <w:sz w:val="24"/>
          <w:szCs w:val="24"/>
        </w:rPr>
        <w:t>四、财政拨款收入支出决算总体情况说明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_Toc13978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_Toc23355 </w:instrText>
      </w:r>
      <w:r>
        <w:rPr>
          <w:rFonts w:hint="eastAsia" w:ascii="宋体" w:hAnsi="宋体" w:eastAsia="宋体" w:cs="宋体"/>
          <w:sz w:val="24"/>
          <w:szCs w:val="24"/>
        </w:rPr>
        <w:fldChar w:fldCharType="separate"/>
      </w:r>
      <w:r>
        <w:rPr>
          <w:rFonts w:hint="eastAsia" w:ascii="宋体" w:hAnsi="宋体" w:eastAsia="宋体" w:cs="宋体"/>
          <w:sz w:val="24"/>
          <w:szCs w:val="24"/>
        </w:rPr>
        <w:t>五、一般公共预算财政拨款支出决算情况说明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_Toc23355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_Toc14326 </w:instrText>
      </w:r>
      <w:r>
        <w:rPr>
          <w:rFonts w:hint="eastAsia" w:ascii="宋体" w:hAnsi="宋体" w:eastAsia="宋体" w:cs="宋体"/>
          <w:sz w:val="24"/>
          <w:szCs w:val="24"/>
        </w:rPr>
        <w:fldChar w:fldCharType="separate"/>
      </w:r>
      <w:r>
        <w:rPr>
          <w:rFonts w:hint="eastAsia" w:ascii="宋体" w:hAnsi="宋体" w:eastAsia="宋体" w:cs="宋体"/>
          <w:sz w:val="24"/>
          <w:szCs w:val="24"/>
        </w:rPr>
        <w:t>六、一般公共预算财政拨款基本支出决算情况说明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_Toc14326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_Toc10480 </w:instrText>
      </w:r>
      <w:r>
        <w:rPr>
          <w:rFonts w:hint="eastAsia" w:ascii="宋体" w:hAnsi="宋体" w:eastAsia="宋体" w:cs="宋体"/>
          <w:sz w:val="24"/>
          <w:szCs w:val="24"/>
        </w:rPr>
        <w:fldChar w:fldCharType="separate"/>
      </w:r>
      <w:r>
        <w:rPr>
          <w:rFonts w:hint="eastAsia" w:ascii="宋体" w:hAnsi="宋体" w:eastAsia="宋体" w:cs="宋体"/>
          <w:sz w:val="24"/>
          <w:szCs w:val="24"/>
        </w:rPr>
        <w:t>七、财政拨款“三公”经费支出决算情况说明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_Toc10480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_Toc10351 </w:instrText>
      </w:r>
      <w:r>
        <w:rPr>
          <w:rFonts w:hint="eastAsia" w:ascii="宋体" w:hAnsi="宋体" w:eastAsia="宋体" w:cs="宋体"/>
          <w:sz w:val="24"/>
          <w:szCs w:val="24"/>
        </w:rPr>
        <w:fldChar w:fldCharType="separate"/>
      </w:r>
      <w:r>
        <w:rPr>
          <w:rFonts w:hint="eastAsia" w:ascii="宋体" w:hAnsi="宋体" w:eastAsia="宋体" w:cs="宋体"/>
          <w:sz w:val="24"/>
          <w:szCs w:val="24"/>
        </w:rPr>
        <w:t>八、政府性基金预算支出决算情况说明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_Toc10351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_Toc539 </w:instrText>
      </w:r>
      <w:r>
        <w:rPr>
          <w:rFonts w:hint="eastAsia" w:ascii="宋体" w:hAnsi="宋体" w:eastAsia="宋体" w:cs="宋体"/>
          <w:sz w:val="24"/>
          <w:szCs w:val="24"/>
        </w:rPr>
        <w:fldChar w:fldCharType="separate"/>
      </w:r>
      <w:r>
        <w:rPr>
          <w:rFonts w:hint="eastAsia" w:ascii="宋体" w:hAnsi="宋体" w:eastAsia="宋体" w:cs="宋体"/>
          <w:sz w:val="24"/>
          <w:szCs w:val="24"/>
        </w:rPr>
        <w:t>九、 国有资本经营预算支出决算情况说明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_Toc539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_Toc15948 </w:instrText>
      </w:r>
      <w:r>
        <w:rPr>
          <w:rFonts w:hint="eastAsia" w:ascii="宋体" w:hAnsi="宋体" w:eastAsia="宋体" w:cs="宋体"/>
          <w:sz w:val="24"/>
          <w:szCs w:val="24"/>
        </w:rPr>
        <w:fldChar w:fldCharType="separate"/>
      </w:r>
      <w:r>
        <w:rPr>
          <w:rFonts w:hint="eastAsia" w:ascii="宋体" w:hAnsi="宋体" w:eastAsia="宋体" w:cs="宋体"/>
          <w:sz w:val="24"/>
          <w:szCs w:val="24"/>
        </w:rPr>
        <w:t>十、 其他重要事项的情况说明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_Toc15948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2"/>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仿宋" w:hAnsi="仿宋" w:eastAsia="仿宋" w:cs="仿宋"/>
          <w:b/>
          <w:sz w:val="24"/>
          <w:szCs w:val="24"/>
        </w:rPr>
      </w:pP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HYPERLINK \l _Toc30984 </w:instrText>
      </w:r>
      <w:r>
        <w:rPr>
          <w:rFonts w:hint="eastAsia" w:ascii="仿宋" w:hAnsi="仿宋" w:eastAsia="仿宋" w:cs="仿宋"/>
          <w:b/>
          <w:sz w:val="24"/>
          <w:szCs w:val="24"/>
        </w:rPr>
        <w:fldChar w:fldCharType="separate"/>
      </w:r>
      <w:r>
        <w:rPr>
          <w:rFonts w:hint="eastAsia" w:ascii="仿宋" w:hAnsi="仿宋" w:eastAsia="仿宋" w:cs="仿宋"/>
          <w:b/>
          <w:sz w:val="24"/>
          <w:szCs w:val="24"/>
        </w:rPr>
        <w:t>第三部分 名词解释</w:t>
      </w:r>
      <w:r>
        <w:rPr>
          <w:rFonts w:hint="eastAsia" w:ascii="仿宋" w:hAnsi="仿宋" w:eastAsia="仿宋" w:cs="仿宋"/>
          <w:b/>
          <w:sz w:val="24"/>
          <w:szCs w:val="24"/>
        </w:rPr>
        <w:tab/>
      </w: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PAGEREF _Toc30984 \h </w:instrText>
      </w:r>
      <w:r>
        <w:rPr>
          <w:rFonts w:hint="eastAsia" w:ascii="仿宋" w:hAnsi="仿宋" w:eastAsia="仿宋" w:cs="仿宋"/>
          <w:b/>
          <w:sz w:val="24"/>
          <w:szCs w:val="24"/>
        </w:rPr>
        <w:fldChar w:fldCharType="separate"/>
      </w:r>
      <w:r>
        <w:rPr>
          <w:rFonts w:hint="eastAsia" w:ascii="仿宋" w:hAnsi="仿宋" w:eastAsia="仿宋" w:cs="仿宋"/>
          <w:b/>
          <w:sz w:val="24"/>
          <w:szCs w:val="24"/>
        </w:rPr>
        <w:t>14</w:t>
      </w:r>
      <w:r>
        <w:rPr>
          <w:rFonts w:hint="eastAsia" w:ascii="仿宋" w:hAnsi="仿宋" w:eastAsia="仿宋" w:cs="仿宋"/>
          <w:b/>
          <w:sz w:val="24"/>
          <w:szCs w:val="24"/>
        </w:rPr>
        <w:fldChar w:fldCharType="end"/>
      </w:r>
      <w:r>
        <w:rPr>
          <w:rFonts w:hint="eastAsia" w:ascii="仿宋" w:hAnsi="仿宋" w:eastAsia="仿宋" w:cs="仿宋"/>
          <w:b/>
          <w:sz w:val="24"/>
          <w:szCs w:val="24"/>
        </w:rPr>
        <w:fldChar w:fldCharType="end"/>
      </w:r>
    </w:p>
    <w:p>
      <w:pPr>
        <w:pStyle w:val="32"/>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仿宋" w:hAnsi="仿宋" w:eastAsia="仿宋" w:cs="仿宋"/>
          <w:b/>
          <w:sz w:val="24"/>
          <w:szCs w:val="24"/>
        </w:rPr>
      </w:pP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HYPERLINK \l _Toc23065 </w:instrText>
      </w:r>
      <w:r>
        <w:rPr>
          <w:rFonts w:hint="eastAsia" w:ascii="仿宋" w:hAnsi="仿宋" w:eastAsia="仿宋" w:cs="仿宋"/>
          <w:b/>
          <w:sz w:val="24"/>
          <w:szCs w:val="24"/>
        </w:rPr>
        <w:fldChar w:fldCharType="separate"/>
      </w:r>
      <w:r>
        <w:rPr>
          <w:rFonts w:hint="eastAsia" w:ascii="仿宋" w:hAnsi="仿宋" w:eastAsia="仿宋" w:cs="仿宋"/>
          <w:b/>
          <w:sz w:val="24"/>
          <w:szCs w:val="24"/>
        </w:rPr>
        <w:t>第四部分 附件</w:t>
      </w:r>
      <w:r>
        <w:rPr>
          <w:rFonts w:hint="eastAsia" w:ascii="仿宋" w:hAnsi="仿宋" w:eastAsia="仿宋" w:cs="仿宋"/>
          <w:b/>
          <w:sz w:val="24"/>
          <w:szCs w:val="24"/>
        </w:rPr>
        <w:tab/>
      </w: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PAGEREF _Toc23065 \h </w:instrText>
      </w:r>
      <w:r>
        <w:rPr>
          <w:rFonts w:hint="eastAsia" w:ascii="仿宋" w:hAnsi="仿宋" w:eastAsia="仿宋" w:cs="仿宋"/>
          <w:b/>
          <w:sz w:val="24"/>
          <w:szCs w:val="24"/>
        </w:rPr>
        <w:fldChar w:fldCharType="separate"/>
      </w:r>
      <w:r>
        <w:rPr>
          <w:rFonts w:hint="eastAsia" w:ascii="仿宋" w:hAnsi="仿宋" w:eastAsia="仿宋" w:cs="仿宋"/>
          <w:b/>
          <w:sz w:val="24"/>
          <w:szCs w:val="24"/>
        </w:rPr>
        <w:t>17</w:t>
      </w:r>
      <w:r>
        <w:rPr>
          <w:rFonts w:hint="eastAsia" w:ascii="仿宋" w:hAnsi="仿宋" w:eastAsia="仿宋" w:cs="仿宋"/>
          <w:b/>
          <w:sz w:val="24"/>
          <w:szCs w:val="24"/>
        </w:rPr>
        <w:fldChar w:fldCharType="end"/>
      </w:r>
      <w:r>
        <w:rPr>
          <w:rFonts w:hint="eastAsia" w:ascii="仿宋" w:hAnsi="仿宋" w:eastAsia="仿宋" w:cs="仿宋"/>
          <w:b/>
          <w:sz w:val="24"/>
          <w:szCs w:val="24"/>
        </w:rPr>
        <w:fldChar w:fldCharType="end"/>
      </w:r>
    </w:p>
    <w:p>
      <w:pPr>
        <w:pStyle w:val="32"/>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b/>
          <w:sz w:val="24"/>
          <w:szCs w:val="24"/>
        </w:rPr>
      </w:pP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HYPERLINK \l _Toc9606 </w:instrText>
      </w:r>
      <w:r>
        <w:rPr>
          <w:rFonts w:hint="eastAsia" w:ascii="仿宋" w:hAnsi="仿宋" w:eastAsia="仿宋" w:cs="仿宋"/>
          <w:b/>
          <w:sz w:val="24"/>
          <w:szCs w:val="24"/>
        </w:rPr>
        <w:fldChar w:fldCharType="separate"/>
      </w:r>
      <w:r>
        <w:rPr>
          <w:rFonts w:hint="eastAsia" w:ascii="仿宋" w:hAnsi="仿宋" w:eastAsia="仿宋" w:cs="仿宋"/>
          <w:b/>
          <w:sz w:val="24"/>
          <w:szCs w:val="24"/>
        </w:rPr>
        <w:t>第五部分 附表</w:t>
      </w:r>
      <w:r>
        <w:rPr>
          <w:rFonts w:hint="eastAsia" w:ascii="仿宋" w:hAnsi="仿宋" w:eastAsia="仿宋" w:cs="仿宋"/>
          <w:b/>
          <w:sz w:val="24"/>
          <w:szCs w:val="24"/>
        </w:rPr>
        <w:tab/>
      </w: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PAGEREF _Toc9606 \h </w:instrText>
      </w:r>
      <w:r>
        <w:rPr>
          <w:rFonts w:hint="eastAsia" w:ascii="仿宋" w:hAnsi="仿宋" w:eastAsia="仿宋" w:cs="仿宋"/>
          <w:b/>
          <w:sz w:val="24"/>
          <w:szCs w:val="24"/>
        </w:rPr>
        <w:fldChar w:fldCharType="separate"/>
      </w:r>
      <w:r>
        <w:rPr>
          <w:rFonts w:hint="eastAsia" w:ascii="仿宋" w:hAnsi="仿宋" w:eastAsia="仿宋" w:cs="仿宋"/>
          <w:b/>
          <w:sz w:val="24"/>
          <w:szCs w:val="24"/>
        </w:rPr>
        <w:t>29</w:t>
      </w:r>
      <w:r>
        <w:rPr>
          <w:rFonts w:hint="eastAsia" w:ascii="仿宋" w:hAnsi="仿宋" w:eastAsia="仿宋" w:cs="仿宋"/>
          <w:b/>
          <w:sz w:val="24"/>
          <w:szCs w:val="24"/>
        </w:rPr>
        <w:fldChar w:fldCharType="end"/>
      </w:r>
      <w:r>
        <w:rPr>
          <w:rFonts w:hint="eastAsia" w:ascii="仿宋" w:hAnsi="仿宋" w:eastAsia="仿宋" w:cs="仿宋"/>
          <w:b/>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_Toc20499 </w:instrText>
      </w:r>
      <w:r>
        <w:rPr>
          <w:rFonts w:hint="eastAsia" w:ascii="宋体" w:hAnsi="宋体" w:eastAsia="宋体" w:cs="宋体"/>
          <w:sz w:val="24"/>
          <w:szCs w:val="24"/>
        </w:rPr>
        <w:fldChar w:fldCharType="separate"/>
      </w:r>
      <w:r>
        <w:rPr>
          <w:rFonts w:hint="eastAsia" w:ascii="宋体" w:hAnsi="宋体" w:eastAsia="宋体" w:cs="宋体"/>
          <w:sz w:val="24"/>
          <w:szCs w:val="24"/>
        </w:rPr>
        <w:t>一、收</w:t>
      </w:r>
      <w:r>
        <w:rPr>
          <w:rFonts w:hint="eastAsia" w:ascii="宋体" w:hAnsi="宋体" w:eastAsia="宋体" w:cs="宋体"/>
          <w:bCs w:val="0"/>
          <w:sz w:val="24"/>
          <w:szCs w:val="24"/>
        </w:rPr>
        <w:t>入支出决算总表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_Toc20499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_Toc24543 </w:instrText>
      </w:r>
      <w:r>
        <w:rPr>
          <w:rFonts w:hint="eastAsia" w:ascii="宋体" w:hAnsi="宋体" w:eastAsia="宋体" w:cs="宋体"/>
          <w:sz w:val="24"/>
          <w:szCs w:val="24"/>
        </w:rPr>
        <w:fldChar w:fldCharType="separate"/>
      </w:r>
      <w:r>
        <w:rPr>
          <w:rFonts w:hint="eastAsia" w:ascii="宋体" w:hAnsi="宋体" w:eastAsia="宋体" w:cs="宋体"/>
          <w:sz w:val="24"/>
          <w:szCs w:val="24"/>
        </w:rPr>
        <w:t>二、收</w:t>
      </w:r>
      <w:r>
        <w:rPr>
          <w:rFonts w:hint="eastAsia" w:ascii="宋体" w:hAnsi="宋体" w:eastAsia="宋体" w:cs="宋体"/>
          <w:bCs w:val="0"/>
          <w:sz w:val="24"/>
          <w:szCs w:val="24"/>
        </w:rPr>
        <w:t>入决算表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_Toc24543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_Toc8278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三、</w:t>
      </w:r>
      <w:r>
        <w:rPr>
          <w:rFonts w:hint="eastAsia" w:ascii="宋体" w:hAnsi="宋体" w:eastAsia="宋体" w:cs="宋体"/>
          <w:sz w:val="24"/>
          <w:szCs w:val="24"/>
        </w:rPr>
        <w:t>支</w:t>
      </w:r>
      <w:r>
        <w:rPr>
          <w:rFonts w:hint="eastAsia" w:ascii="宋体" w:hAnsi="宋体" w:eastAsia="宋体" w:cs="宋体"/>
          <w:bCs w:val="0"/>
          <w:sz w:val="24"/>
          <w:szCs w:val="24"/>
        </w:rPr>
        <w:t>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_Toc8278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_Toc29903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四、</w:t>
      </w:r>
      <w:r>
        <w:rPr>
          <w:rFonts w:hint="eastAsia" w:ascii="宋体" w:hAnsi="宋体" w:eastAsia="宋体" w:cs="宋体"/>
          <w:sz w:val="24"/>
          <w:szCs w:val="24"/>
        </w:rPr>
        <w:t>财</w:t>
      </w:r>
      <w:r>
        <w:rPr>
          <w:rFonts w:hint="eastAsia" w:ascii="宋体" w:hAnsi="宋体" w:eastAsia="宋体" w:cs="宋体"/>
          <w:bCs w:val="0"/>
          <w:sz w:val="24"/>
          <w:szCs w:val="24"/>
        </w:rPr>
        <w:t>政拨款收入支出决算总表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_Toc29903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_Toc17780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五、</w:t>
      </w:r>
      <w:r>
        <w:rPr>
          <w:rFonts w:hint="eastAsia" w:ascii="宋体" w:hAnsi="宋体" w:eastAsia="宋体" w:cs="宋体"/>
          <w:sz w:val="24"/>
          <w:szCs w:val="24"/>
        </w:rPr>
        <w:t>财</w:t>
      </w:r>
      <w:r>
        <w:rPr>
          <w:rFonts w:hint="eastAsia" w:ascii="宋体" w:hAnsi="宋体" w:eastAsia="宋体" w:cs="宋体"/>
          <w:bCs w:val="0"/>
          <w:sz w:val="24"/>
          <w:szCs w:val="24"/>
        </w:rPr>
        <w:t>政拨款支出决算明细表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_Toc17780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_Toc31303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六、</w:t>
      </w:r>
      <w:r>
        <w:rPr>
          <w:rFonts w:hint="eastAsia" w:ascii="宋体" w:hAnsi="宋体" w:eastAsia="宋体" w:cs="宋体"/>
          <w:sz w:val="24"/>
          <w:szCs w:val="24"/>
        </w:rPr>
        <w:t>一</w:t>
      </w:r>
      <w:r>
        <w:rPr>
          <w:rFonts w:hint="eastAsia" w:ascii="宋体" w:hAnsi="宋体" w:eastAsia="宋体" w:cs="宋体"/>
          <w:bCs w:val="0"/>
          <w:sz w:val="24"/>
          <w:szCs w:val="24"/>
        </w:rPr>
        <w:t>般公共预算财政拨款支出决算表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_Toc31303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_Toc29881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七、</w:t>
      </w:r>
      <w:r>
        <w:rPr>
          <w:rFonts w:hint="eastAsia" w:ascii="宋体" w:hAnsi="宋体" w:eastAsia="宋体" w:cs="宋体"/>
          <w:sz w:val="24"/>
          <w:szCs w:val="24"/>
        </w:rPr>
        <w:t>一</w:t>
      </w:r>
      <w:r>
        <w:rPr>
          <w:rFonts w:hint="eastAsia" w:ascii="宋体" w:hAnsi="宋体" w:eastAsia="宋体" w:cs="宋体"/>
          <w:bCs w:val="0"/>
          <w:sz w:val="24"/>
          <w:szCs w:val="24"/>
        </w:rPr>
        <w:t>般公共预算财政拨款支出决算明细表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_Toc29881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_Toc21265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八、</w:t>
      </w:r>
      <w:r>
        <w:rPr>
          <w:rFonts w:hint="eastAsia" w:ascii="宋体" w:hAnsi="宋体" w:eastAsia="宋体" w:cs="宋体"/>
          <w:sz w:val="24"/>
          <w:szCs w:val="24"/>
        </w:rPr>
        <w:t>一</w:t>
      </w:r>
      <w:r>
        <w:rPr>
          <w:rFonts w:hint="eastAsia" w:ascii="宋体" w:hAnsi="宋体" w:eastAsia="宋体" w:cs="宋体"/>
          <w:bCs w:val="0"/>
          <w:sz w:val="24"/>
          <w:szCs w:val="24"/>
        </w:rPr>
        <w:t>般公共预算财政拨款基本支出决算表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_Toc21265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_Toc17838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九、</w:t>
      </w:r>
      <w:r>
        <w:rPr>
          <w:rFonts w:hint="eastAsia" w:ascii="宋体" w:hAnsi="宋体" w:eastAsia="宋体" w:cs="宋体"/>
          <w:sz w:val="24"/>
          <w:szCs w:val="24"/>
        </w:rPr>
        <w:t>一</w:t>
      </w:r>
      <w:r>
        <w:rPr>
          <w:rFonts w:hint="eastAsia" w:ascii="宋体" w:hAnsi="宋体" w:eastAsia="宋体" w:cs="宋体"/>
          <w:bCs w:val="0"/>
          <w:sz w:val="24"/>
          <w:szCs w:val="24"/>
        </w:rPr>
        <w:t>般公共预算财政拨款项目支出决算表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_Toc17838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_Toc8404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十、</w:t>
      </w:r>
      <w:r>
        <w:rPr>
          <w:rFonts w:hint="eastAsia" w:ascii="宋体" w:hAnsi="宋体" w:eastAsia="宋体" w:cs="宋体"/>
          <w:sz w:val="24"/>
          <w:szCs w:val="24"/>
        </w:rPr>
        <w:t>政</w:t>
      </w:r>
      <w:r>
        <w:rPr>
          <w:rFonts w:hint="eastAsia" w:ascii="宋体" w:hAnsi="宋体" w:eastAsia="宋体" w:cs="宋体"/>
          <w:bCs w:val="0"/>
          <w:sz w:val="24"/>
          <w:szCs w:val="24"/>
        </w:rPr>
        <w:t>府性基金预算财政拨款收入支出决算表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_Toc8404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_Toc8859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十一、</w:t>
      </w:r>
      <w:r>
        <w:rPr>
          <w:rFonts w:hint="eastAsia" w:ascii="宋体" w:hAnsi="宋体" w:eastAsia="宋体" w:cs="宋体"/>
          <w:sz w:val="24"/>
          <w:szCs w:val="24"/>
        </w:rPr>
        <w:t>国</w:t>
      </w:r>
      <w:r>
        <w:rPr>
          <w:rFonts w:hint="eastAsia" w:ascii="宋体" w:hAnsi="宋体" w:eastAsia="宋体" w:cs="宋体"/>
          <w:bCs w:val="0"/>
          <w:sz w:val="24"/>
          <w:szCs w:val="24"/>
        </w:rPr>
        <w:t>有资本经营预算财政拨款收入支出决算表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_Toc8859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_Toc7951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十二、国有资本经营预算财政拨款支出决算表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_Toc7951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keepNext w:val="0"/>
        <w:keepLines w:val="0"/>
        <w:pageBreakBefore w:val="0"/>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_Toc12812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十三、财政拨款“三公”经费支出决算表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_Toc12812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黑体" w:hAnsi="黑体" w:eastAsia="黑体"/>
          <w:b w:val="0"/>
        </w:rPr>
      </w:pPr>
      <w:r>
        <w:rPr>
          <w:rFonts w:hint="eastAsia" w:ascii="宋体" w:hAnsi="宋体" w:eastAsia="宋体" w:cs="宋体"/>
          <w:b/>
          <w:sz w:val="24"/>
          <w:szCs w:val="24"/>
        </w:rPr>
        <w:fldChar w:fldCharType="end"/>
      </w:r>
      <w:bookmarkStart w:id="14" w:name="_Toc6986"/>
      <w:bookmarkStart w:id="15" w:name="_Toc15396599"/>
      <w:bookmarkStart w:id="16" w:name="_Toc15377196"/>
    </w:p>
    <w:p>
      <w:pPr>
        <w:pStyle w:val="3"/>
        <w:jc w:val="center"/>
        <w:rPr>
          <w:rFonts w:hint="eastAsia" w:ascii="黑体" w:hAnsi="黑体" w:eastAsia="黑体"/>
          <w:b w:val="0"/>
        </w:rPr>
      </w:pPr>
    </w:p>
    <w:p>
      <w:pPr>
        <w:pStyle w:val="3"/>
        <w:jc w:val="center"/>
        <w:rPr>
          <w:rFonts w:hint="eastAsia" w:ascii="黑体" w:hAnsi="黑体" w:eastAsia="黑体"/>
          <w:b w:val="0"/>
        </w:rPr>
      </w:pPr>
    </w:p>
    <w:p>
      <w:pPr>
        <w:pStyle w:val="3"/>
        <w:jc w:val="center"/>
        <w:rPr>
          <w:rFonts w:hint="eastAsia" w:ascii="黑体" w:hAnsi="黑体" w:eastAsia="黑体"/>
          <w:b w:val="0"/>
        </w:rPr>
      </w:pPr>
    </w:p>
    <w:p>
      <w:pPr>
        <w:pStyle w:val="3"/>
        <w:jc w:val="center"/>
        <w:rPr>
          <w:rFonts w:hint="eastAsia" w:ascii="黑体" w:hAnsi="黑体" w:eastAsia="黑体"/>
          <w:b w:val="0"/>
        </w:rPr>
      </w:pPr>
    </w:p>
    <w:p>
      <w:pPr>
        <w:pStyle w:val="3"/>
        <w:jc w:val="center"/>
        <w:rPr>
          <w:rFonts w:hint="eastAsia" w:ascii="黑体" w:hAnsi="黑体" w:eastAsia="黑体"/>
          <w:b w:val="0"/>
        </w:rPr>
      </w:pPr>
    </w:p>
    <w:p>
      <w:pPr>
        <w:pStyle w:val="3"/>
        <w:jc w:val="center"/>
        <w:rPr>
          <w:rFonts w:hint="eastAsia" w:ascii="黑体" w:hAnsi="黑体" w:eastAsia="黑体"/>
          <w:b w:val="0"/>
        </w:rPr>
      </w:pPr>
    </w:p>
    <w:p>
      <w:pPr>
        <w:pStyle w:val="3"/>
        <w:jc w:val="center"/>
        <w:rPr>
          <w:rFonts w:hint="eastAsia" w:ascii="黑体" w:hAnsi="黑体" w:eastAsia="黑体"/>
          <w:b w:val="0"/>
        </w:rPr>
      </w:pPr>
    </w:p>
    <w:p>
      <w:pPr>
        <w:pStyle w:val="3"/>
        <w:jc w:val="both"/>
        <w:rPr>
          <w:rFonts w:hint="eastAsia" w:ascii="黑体" w:hAnsi="黑体" w:eastAsia="黑体"/>
          <w:b w:val="0"/>
        </w:rPr>
      </w:pPr>
    </w:p>
    <w:p>
      <w:pPr>
        <w:rPr>
          <w:rFonts w:hint="eastAsia" w:ascii="黑体" w:hAnsi="黑体" w:eastAsia="黑体"/>
          <w:b w:val="0"/>
        </w:rPr>
      </w:pPr>
    </w:p>
    <w:p>
      <w:pPr>
        <w:pStyle w:val="2"/>
        <w:rPr>
          <w:rFonts w:hint="eastAsia"/>
        </w:rPr>
      </w:pPr>
    </w:p>
    <w:p>
      <w:pPr>
        <w:pStyle w:val="3"/>
        <w:jc w:val="center"/>
        <w:rPr>
          <w:rStyle w:val="19"/>
          <w:rFonts w:ascii="黑体" w:hAnsi="黑体" w:eastAsia="黑体"/>
          <w:b/>
          <w:bCs w:val="0"/>
        </w:rPr>
      </w:pPr>
      <w:r>
        <w:rPr>
          <w:rFonts w:hint="eastAsia" w:ascii="黑体" w:hAnsi="黑体" w:eastAsia="黑体"/>
          <w:b w:val="0"/>
        </w:rPr>
        <w:t>第一部分 单位</w:t>
      </w:r>
      <w:r>
        <w:rPr>
          <w:rStyle w:val="19"/>
          <w:rFonts w:hint="eastAsia" w:ascii="黑体" w:hAnsi="黑体" w:eastAsia="黑体"/>
          <w:b w:val="0"/>
          <w:bCs w:val="0"/>
        </w:rPr>
        <w:t>概况</w:t>
      </w:r>
      <w:bookmarkEnd w:id="14"/>
      <w:bookmarkEnd w:id="15"/>
      <w:bookmarkEnd w:id="16"/>
    </w:p>
    <w:p>
      <w:pPr>
        <w:widowControl/>
        <w:jc w:val="left"/>
        <w:rPr>
          <w:rFonts w:ascii="黑体" w:eastAsia="黑体"/>
          <w:sz w:val="32"/>
          <w:szCs w:val="32"/>
        </w:rPr>
      </w:pPr>
    </w:p>
    <w:p>
      <w:pPr>
        <w:pStyle w:val="4"/>
        <w:numPr>
          <w:ilvl w:val="0"/>
          <w:numId w:val="0"/>
        </w:numPr>
        <w:rPr>
          <w:rStyle w:val="20"/>
          <w:rFonts w:ascii="黑体" w:hAnsi="黑体" w:eastAsia="黑体"/>
          <w:b w:val="0"/>
          <w:bCs w:val="0"/>
        </w:rPr>
      </w:pPr>
      <w:bookmarkStart w:id="17" w:name="_Toc3565"/>
      <w:bookmarkStart w:id="18" w:name="_Toc15377197"/>
      <w:bookmarkStart w:id="19" w:name="_Toc15396600"/>
      <w:r>
        <w:rPr>
          <w:rStyle w:val="20"/>
          <w:rFonts w:hint="eastAsia" w:ascii="黑体" w:hAnsi="黑体" w:eastAsia="黑体"/>
          <w:b w:val="0"/>
          <w:bCs w:val="0"/>
          <w:lang w:val="en-US" w:eastAsia="zh-CN"/>
        </w:rPr>
        <w:t xml:space="preserve">   一、</w:t>
      </w:r>
      <w:r>
        <w:rPr>
          <w:rStyle w:val="20"/>
          <w:rFonts w:hint="eastAsia" w:ascii="黑体" w:hAnsi="黑体" w:eastAsia="黑体"/>
          <w:b w:val="0"/>
          <w:bCs w:val="0"/>
        </w:rPr>
        <w:t>主要职责</w:t>
      </w:r>
      <w:bookmarkEnd w:id="17"/>
    </w:p>
    <w:p>
      <w:pPr>
        <w:ind w:firstLine="640" w:firstLineChars="200"/>
        <w:rPr>
          <w:rFonts w:ascii="仿宋" w:hAnsi="仿宋" w:eastAsia="仿宋"/>
          <w:sz w:val="32"/>
          <w:szCs w:val="32"/>
        </w:rPr>
      </w:pPr>
      <w:r>
        <w:rPr>
          <w:rFonts w:hint="eastAsia" w:ascii="宋体" w:hAnsi="宋体" w:eastAsia="宋体" w:cs="宋体"/>
          <w:sz w:val="32"/>
          <w:szCs w:val="32"/>
        </w:rPr>
        <w:t>承担为全省退役军人及其他优抚对象、社会公众提供医疗康复、健康管理和医养、康养、疗养服务；为残疾军人提供集中供养、医疗护理服务；为全省重点优抚对象提供巡回医疗服务；开展教学科研、健康教育、疾病预防等职责。</w:t>
      </w:r>
    </w:p>
    <w:p>
      <w:pPr>
        <w:pStyle w:val="4"/>
        <w:ind w:firstLine="640" w:firstLineChars="200"/>
        <w:rPr>
          <w:rFonts w:ascii="黑体" w:hAnsi="黑体" w:eastAsia="黑体"/>
          <w:b w:val="0"/>
        </w:rPr>
      </w:pPr>
      <w:bookmarkStart w:id="20" w:name="_Toc718"/>
      <w:r>
        <w:rPr>
          <w:rFonts w:hint="eastAsia" w:ascii="黑体" w:hAnsi="黑体" w:eastAsia="黑体"/>
          <w:b w:val="0"/>
          <w:lang w:eastAsia="zh-CN"/>
        </w:rPr>
        <w:t>二、</w:t>
      </w:r>
      <w:r>
        <w:rPr>
          <w:rFonts w:hint="eastAsia" w:ascii="黑体" w:hAnsi="黑体" w:eastAsia="黑体"/>
          <w:b w:val="0"/>
        </w:rPr>
        <w:t>机构设置</w:t>
      </w:r>
      <w:bookmarkEnd w:id="20"/>
    </w:p>
    <w:p>
      <w:pPr>
        <w:ind w:firstLine="640" w:firstLineChars="200"/>
        <w:rPr>
          <w:rFonts w:hint="eastAsia" w:ascii="宋体" w:hAnsi="宋体" w:eastAsia="宋体" w:cs="宋体"/>
          <w:sz w:val="32"/>
          <w:szCs w:val="32"/>
        </w:rPr>
      </w:pPr>
      <w:r>
        <w:rPr>
          <w:rFonts w:hint="eastAsia" w:ascii="宋体" w:hAnsi="宋体" w:eastAsia="宋体" w:cs="宋体"/>
          <w:sz w:val="32"/>
          <w:szCs w:val="32"/>
        </w:rPr>
        <w:t>设置党办、办公室、人事教育科、计财科、后勤科、信息科、荣军科、疗养科、医护办9个一级党政职能科室，设置综合（老年）科、门诊部、心身疾病科、精神康复科、康复部5个临床业务科室。门诊部下设医学影像科、检验科、药剂科；设置业务类职能科室医保科、预防保健科。</w:t>
      </w:r>
    </w:p>
    <w:bookmarkEnd w:id="18"/>
    <w:bookmarkEnd w:id="19"/>
    <w:p>
      <w:pPr>
        <w:widowControl/>
        <w:jc w:val="left"/>
        <w:rPr>
          <w:rFonts w:ascii="仿宋" w:hAnsi="仿宋" w:eastAsia="仿宋"/>
          <w:kern w:val="0"/>
          <w:sz w:val="32"/>
          <w:szCs w:val="32"/>
        </w:rPr>
      </w:pPr>
      <w:r>
        <w:rPr>
          <w:rFonts w:ascii="仿宋" w:hAnsi="仿宋" w:eastAsia="仿宋"/>
          <w:sz w:val="32"/>
          <w:szCs w:val="32"/>
        </w:rPr>
        <w:br w:type="page"/>
      </w:r>
    </w:p>
    <w:p>
      <w:pPr>
        <w:pStyle w:val="3"/>
        <w:ind w:right="440"/>
        <w:jc w:val="center"/>
        <w:rPr>
          <w:rStyle w:val="19"/>
          <w:rFonts w:ascii="黑体" w:hAnsi="黑体" w:eastAsia="黑体"/>
          <w:b w:val="0"/>
          <w:bCs/>
        </w:rPr>
      </w:pPr>
      <w:bookmarkStart w:id="21" w:name="_Toc15396602"/>
      <w:bookmarkStart w:id="22" w:name="_Toc13373"/>
      <w:bookmarkStart w:id="23" w:name="_Toc15377204"/>
      <w:r>
        <w:rPr>
          <w:rFonts w:hint="eastAsia" w:ascii="黑体" w:hAnsi="黑体" w:eastAsia="黑体"/>
          <w:b w:val="0"/>
        </w:rPr>
        <w:t>第二部分 2022年度</w:t>
      </w:r>
      <w:r>
        <w:rPr>
          <w:rStyle w:val="19"/>
          <w:rFonts w:hint="eastAsia" w:ascii="黑体" w:hAnsi="黑体" w:eastAsia="黑体"/>
          <w:b w:val="0"/>
          <w:bCs/>
        </w:rPr>
        <w:t>单位决算情况说明</w:t>
      </w:r>
      <w:bookmarkEnd w:id="21"/>
      <w:bookmarkEnd w:id="22"/>
      <w:bookmarkEnd w:id="23"/>
    </w:p>
    <w:p/>
    <w:p>
      <w:pPr>
        <w:pStyle w:val="31"/>
        <w:numPr>
          <w:ilvl w:val="0"/>
          <w:numId w:val="1"/>
        </w:numPr>
        <w:spacing w:line="600" w:lineRule="exact"/>
        <w:ind w:firstLineChars="0"/>
        <w:outlineLvl w:val="1"/>
        <w:rPr>
          <w:rStyle w:val="20"/>
          <w:rFonts w:ascii="黑体" w:hAnsi="黑体" w:eastAsia="黑体"/>
          <w:b w:val="0"/>
        </w:rPr>
      </w:pPr>
      <w:bookmarkStart w:id="24" w:name="_Toc15396603"/>
      <w:bookmarkStart w:id="25" w:name="_Toc15377205"/>
      <w:bookmarkStart w:id="26" w:name="_Toc19569"/>
      <w:r>
        <w:rPr>
          <w:rFonts w:hint="eastAsia" w:ascii="黑体" w:hAnsi="黑体" w:eastAsia="黑体"/>
          <w:sz w:val="32"/>
          <w:szCs w:val="32"/>
        </w:rPr>
        <w:t>收</w:t>
      </w:r>
      <w:r>
        <w:rPr>
          <w:rStyle w:val="20"/>
          <w:rFonts w:hint="eastAsia" w:ascii="黑体" w:hAnsi="黑体" w:eastAsia="黑体"/>
          <w:b w:val="0"/>
        </w:rPr>
        <w:t>入支出决算总体情况说明</w:t>
      </w:r>
      <w:bookmarkEnd w:id="24"/>
      <w:bookmarkEnd w:id="25"/>
      <w:bookmarkEnd w:id="26"/>
    </w:p>
    <w:p>
      <w:pPr>
        <w:spacing w:line="60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2022年度收、支总计3887.58万元。与2021年相比，收、支总计各减少399.84万元，下降9.33%。主要变动原因是2022年优抚安置事业单位维修改造和设备购置项目经费减少。</w:t>
      </w:r>
    </w:p>
    <w:p>
      <w:pPr>
        <w:pStyle w:val="2"/>
        <w:spacing w:before="93"/>
        <w:jc w:val="center"/>
      </w:pPr>
      <w:r>
        <w:drawing>
          <wp:inline distT="0" distB="0" distL="114300" distR="114300">
            <wp:extent cx="4572000" cy="2743200"/>
            <wp:effectExtent l="4445" t="4445" r="14605" b="14605"/>
            <wp:docPr id="2" name="图片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1600" w:firstLineChars="500"/>
        <w:jc w:val="both"/>
        <w:rPr>
          <w:rFonts w:hint="eastAsia" w:ascii="宋体" w:hAnsi="宋体" w:eastAsia="宋体" w:cs="宋体"/>
          <w:sz w:val="32"/>
          <w:szCs w:val="32"/>
        </w:rPr>
      </w:pPr>
      <w:r>
        <w:rPr>
          <w:rFonts w:hint="eastAsia" w:ascii="宋体" w:hAnsi="宋体" w:eastAsia="宋体" w:cs="宋体"/>
          <w:sz w:val="32"/>
          <w:szCs w:val="32"/>
        </w:rPr>
        <w:t>图1：收、支决算总计变动情况图</w:t>
      </w:r>
    </w:p>
    <w:p>
      <w:pPr>
        <w:pStyle w:val="31"/>
        <w:numPr>
          <w:ilvl w:val="0"/>
          <w:numId w:val="1"/>
        </w:numPr>
        <w:spacing w:line="600" w:lineRule="exact"/>
        <w:ind w:firstLineChars="0"/>
        <w:outlineLvl w:val="1"/>
        <w:rPr>
          <w:rStyle w:val="20"/>
          <w:rFonts w:ascii="黑体" w:hAnsi="黑体" w:eastAsia="黑体"/>
          <w:b w:val="0"/>
        </w:rPr>
      </w:pPr>
      <w:bookmarkStart w:id="27" w:name="_Toc15396604"/>
      <w:bookmarkStart w:id="28" w:name="_Toc10304"/>
      <w:bookmarkStart w:id="29" w:name="_Toc15377206"/>
      <w:r>
        <w:rPr>
          <w:rFonts w:hint="eastAsia" w:ascii="黑体" w:hAnsi="黑体" w:eastAsia="黑体"/>
          <w:sz w:val="32"/>
          <w:szCs w:val="32"/>
        </w:rPr>
        <w:t>收</w:t>
      </w:r>
      <w:r>
        <w:rPr>
          <w:rStyle w:val="20"/>
          <w:rFonts w:hint="eastAsia" w:ascii="黑体" w:hAnsi="黑体" w:eastAsia="黑体"/>
          <w:b w:val="0"/>
        </w:rPr>
        <w:t>入决算情况说明</w:t>
      </w:r>
      <w:bookmarkEnd w:id="27"/>
      <w:bookmarkEnd w:id="28"/>
      <w:bookmarkEnd w:id="29"/>
    </w:p>
    <w:p>
      <w:pPr>
        <w:spacing w:line="600" w:lineRule="exact"/>
        <w:ind w:firstLine="640" w:firstLineChars="200"/>
        <w:outlineLvl w:val="1"/>
        <w:rPr>
          <w:rFonts w:hint="eastAsia" w:ascii="宋体" w:hAnsi="宋体" w:eastAsia="宋体" w:cs="宋体"/>
          <w:sz w:val="32"/>
          <w:szCs w:val="32"/>
        </w:rPr>
      </w:pPr>
      <w:bookmarkStart w:id="30" w:name="_Toc27072"/>
      <w:r>
        <w:rPr>
          <w:rFonts w:hint="eastAsia" w:ascii="宋体" w:hAnsi="宋体" w:eastAsia="宋体" w:cs="宋体"/>
          <w:sz w:val="32"/>
          <w:szCs w:val="32"/>
        </w:rPr>
        <w:t>2022年本年收入合计3668.52万元，其中：一般公共预算财政拨款收入2119.65万元，占57.78%；事业收入1548.87万元，占42.22%。</w:t>
      </w:r>
      <w:bookmarkEnd w:id="30"/>
    </w:p>
    <w:p>
      <w:pPr>
        <w:spacing w:line="600" w:lineRule="exact"/>
        <w:ind w:firstLine="2560" w:firstLineChars="800"/>
        <w:jc w:val="both"/>
        <w:rPr>
          <w:rFonts w:ascii="仿宋" w:hAnsi="仿宋" w:eastAsia="仿宋"/>
          <w:sz w:val="32"/>
          <w:szCs w:val="32"/>
        </w:rPr>
      </w:pPr>
      <w:r>
        <w:rPr>
          <w:rFonts w:hint="eastAsia" w:ascii="宋体" w:hAnsi="宋体" w:eastAsia="宋体" w:cs="宋体"/>
          <w:sz w:val="32"/>
          <w:szCs w:val="32"/>
        </w:rPr>
        <w:drawing>
          <wp:anchor distT="0" distB="0" distL="114300" distR="114300" simplePos="0" relativeHeight="251659264" behindDoc="0" locked="0" layoutInCell="1" allowOverlap="1">
            <wp:simplePos x="0" y="0"/>
            <wp:positionH relativeFrom="margin">
              <wp:align>center</wp:align>
            </wp:positionH>
            <wp:positionV relativeFrom="margin">
              <wp:align>top</wp:align>
            </wp:positionV>
            <wp:extent cx="4572000" cy="2743200"/>
            <wp:effectExtent l="4445" t="4445" r="14605" b="14605"/>
            <wp:wrapSquare wrapText="bothSides"/>
            <wp:docPr id="1"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宋体" w:hAnsi="宋体" w:eastAsia="宋体" w:cs="宋体"/>
          <w:sz w:val="32"/>
          <w:szCs w:val="32"/>
        </w:rPr>
        <w:t>图2：收入决算结构图</w:t>
      </w:r>
    </w:p>
    <w:p>
      <w:pPr>
        <w:pStyle w:val="31"/>
        <w:numPr>
          <w:ilvl w:val="0"/>
          <w:numId w:val="1"/>
        </w:numPr>
        <w:spacing w:line="600" w:lineRule="exact"/>
        <w:ind w:firstLineChars="0"/>
        <w:outlineLvl w:val="1"/>
        <w:rPr>
          <w:rStyle w:val="20"/>
          <w:rFonts w:ascii="黑体" w:hAnsi="黑体" w:eastAsia="黑体"/>
          <w:b w:val="0"/>
        </w:rPr>
      </w:pPr>
      <w:bookmarkStart w:id="31" w:name="_Toc15377207"/>
      <w:bookmarkStart w:id="32" w:name="_Toc15396605"/>
      <w:bookmarkStart w:id="33" w:name="_Toc8162"/>
      <w:r>
        <w:rPr>
          <w:rFonts w:hint="eastAsia" w:ascii="黑体" w:hAnsi="黑体" w:eastAsia="黑体"/>
          <w:sz w:val="32"/>
          <w:szCs w:val="32"/>
        </w:rPr>
        <w:t>支</w:t>
      </w:r>
      <w:r>
        <w:rPr>
          <w:rStyle w:val="20"/>
          <w:rFonts w:hint="eastAsia" w:ascii="黑体" w:hAnsi="黑体" w:eastAsia="黑体"/>
          <w:b w:val="0"/>
        </w:rPr>
        <w:t>出决算情况说明</w:t>
      </w:r>
      <w:bookmarkEnd w:id="31"/>
      <w:bookmarkEnd w:id="32"/>
      <w:bookmarkEnd w:id="33"/>
    </w:p>
    <w:p>
      <w:pPr>
        <w:spacing w:line="600" w:lineRule="exact"/>
        <w:ind w:firstLine="640" w:firstLineChars="200"/>
        <w:outlineLvl w:val="1"/>
        <w:rPr>
          <w:rFonts w:hint="eastAsia" w:ascii="宋体" w:hAnsi="宋体" w:eastAsia="宋体" w:cs="宋体"/>
          <w:sz w:val="32"/>
          <w:szCs w:val="32"/>
        </w:rPr>
      </w:pPr>
      <w:bookmarkStart w:id="34" w:name="_Toc24906"/>
      <w:r>
        <w:rPr>
          <w:rFonts w:hint="eastAsia" w:ascii="宋体" w:hAnsi="宋体" w:eastAsia="宋体" w:cs="宋体"/>
          <w:sz w:val="32"/>
          <w:szCs w:val="32"/>
        </w:rPr>
        <w:t>2022年本年支出合计3887.58万元，其中：基本支出2511.18万元，占64.59%；项目支出1376.40万元，占35.41%。</w:t>
      </w:r>
      <w:bookmarkEnd w:id="34"/>
    </w:p>
    <w:p>
      <w:pPr>
        <w:pStyle w:val="2"/>
        <w:spacing w:before="93"/>
        <w:jc w:val="center"/>
      </w:pPr>
      <w:r>
        <w:drawing>
          <wp:inline distT="0" distB="0" distL="114300" distR="114300">
            <wp:extent cx="4572000" cy="2743200"/>
            <wp:effectExtent l="6350" t="6350" r="12700" b="12700"/>
            <wp:docPr id="3" name="图表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2240" w:firstLineChars="700"/>
        <w:rPr>
          <w:rFonts w:hint="eastAsia" w:ascii="宋体" w:hAnsi="宋体" w:eastAsia="宋体" w:cs="宋体"/>
          <w:sz w:val="32"/>
          <w:szCs w:val="32"/>
          <w:lang w:eastAsia="zh-CN"/>
        </w:rPr>
      </w:pPr>
      <w:r>
        <w:rPr>
          <w:rFonts w:hint="eastAsia" w:ascii="宋体" w:hAnsi="宋体" w:cs="宋体"/>
          <w:sz w:val="32"/>
          <w:szCs w:val="32"/>
          <w:lang w:val="en-US" w:eastAsia="zh-CN"/>
        </w:rPr>
        <w:t xml:space="preserve"> </w:t>
      </w:r>
      <w:r>
        <w:rPr>
          <w:rFonts w:hint="eastAsia" w:ascii="宋体" w:hAnsi="宋体" w:eastAsia="宋体" w:cs="宋体"/>
          <w:sz w:val="32"/>
          <w:szCs w:val="32"/>
        </w:rPr>
        <w:t>图3：支出决算结构图</w:t>
      </w:r>
      <w:r>
        <w:rPr>
          <w:rFonts w:hint="eastAsia" w:ascii="宋体" w:hAnsi="宋体" w:cs="宋体"/>
          <w:sz w:val="32"/>
          <w:szCs w:val="32"/>
          <w:lang w:val="en-US" w:eastAsia="zh-CN"/>
        </w:rPr>
        <w:t xml:space="preserve"> </w:t>
      </w:r>
    </w:p>
    <w:p>
      <w:pPr>
        <w:spacing w:line="600" w:lineRule="exact"/>
        <w:ind w:firstLine="640" w:firstLineChars="200"/>
        <w:outlineLvl w:val="1"/>
        <w:rPr>
          <w:rStyle w:val="20"/>
          <w:rFonts w:ascii="黑体" w:hAnsi="黑体" w:eastAsia="黑体"/>
          <w:b w:val="0"/>
        </w:rPr>
      </w:pPr>
      <w:bookmarkStart w:id="35" w:name="_Toc15377208"/>
      <w:bookmarkStart w:id="36" w:name="_Toc13978"/>
      <w:bookmarkStart w:id="37" w:name="_Toc15396606"/>
      <w:r>
        <w:rPr>
          <w:rFonts w:hint="eastAsia" w:ascii="黑体" w:hAnsi="黑体" w:eastAsia="黑体"/>
          <w:sz w:val="32"/>
          <w:szCs w:val="32"/>
        </w:rPr>
        <w:t>四、财</w:t>
      </w:r>
      <w:r>
        <w:rPr>
          <w:rStyle w:val="20"/>
          <w:rFonts w:hint="eastAsia" w:ascii="黑体" w:hAnsi="黑体" w:eastAsia="黑体"/>
          <w:b w:val="0"/>
        </w:rPr>
        <w:t>政拨款收入支出决算总体情况说明</w:t>
      </w:r>
      <w:bookmarkEnd w:id="35"/>
      <w:bookmarkEnd w:id="36"/>
      <w:bookmarkEnd w:id="37"/>
    </w:p>
    <w:p>
      <w:pPr>
        <w:spacing w:line="600" w:lineRule="exact"/>
        <w:ind w:firstLine="640"/>
        <w:rPr>
          <w:rFonts w:hint="eastAsia" w:ascii="宋体" w:hAnsi="宋体" w:eastAsia="宋体" w:cs="宋体"/>
          <w:sz w:val="32"/>
          <w:szCs w:val="32"/>
        </w:rPr>
      </w:pPr>
      <w:r>
        <w:rPr>
          <w:rFonts w:hint="eastAsia" w:ascii="宋体" w:hAnsi="宋体" w:eastAsia="宋体" w:cs="宋体"/>
          <w:sz w:val="32"/>
          <w:szCs w:val="32"/>
        </w:rPr>
        <w:t>2022年财政拨款收、支总计2119.65万元。与2021年相比，财政拨款收、支总计各减少614.54万元，下降22.48%。主要变动原因是2022年优抚安置事业单位维修改造和设备购置项目经费减少。</w:t>
      </w:r>
    </w:p>
    <w:p>
      <w:pPr>
        <w:pStyle w:val="2"/>
        <w:spacing w:before="93"/>
        <w:jc w:val="center"/>
      </w:pPr>
      <w:r>
        <w:drawing>
          <wp:inline distT="0" distB="0" distL="114300" distR="114300">
            <wp:extent cx="4572000" cy="2743200"/>
            <wp:effectExtent l="4445" t="4445" r="14605" b="14605"/>
            <wp:docPr id="4"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1280" w:firstLineChars="400"/>
        <w:jc w:val="both"/>
        <w:rPr>
          <w:rFonts w:hint="eastAsia" w:ascii="仿宋" w:hAnsi="仿宋" w:eastAsia="仿宋"/>
          <w:sz w:val="32"/>
          <w:szCs w:val="32"/>
          <w:lang w:eastAsia="zh-CN"/>
        </w:rPr>
      </w:pPr>
      <w:r>
        <w:rPr>
          <w:rFonts w:hint="eastAsia" w:ascii="宋体" w:hAnsi="宋体" w:eastAsia="宋体" w:cs="宋体"/>
          <w:sz w:val="32"/>
          <w:szCs w:val="32"/>
        </w:rPr>
        <w:t>图4：财政拨款收、支决算总计变动情况</w:t>
      </w:r>
    </w:p>
    <w:p>
      <w:pPr>
        <w:spacing w:line="600" w:lineRule="exact"/>
        <w:ind w:firstLine="640" w:firstLineChars="200"/>
        <w:outlineLvl w:val="1"/>
        <w:rPr>
          <w:rStyle w:val="20"/>
          <w:rFonts w:ascii="黑体" w:hAnsi="黑体" w:eastAsia="黑体"/>
          <w:b w:val="0"/>
        </w:rPr>
      </w:pPr>
      <w:bookmarkStart w:id="38" w:name="_Toc23355"/>
      <w:bookmarkStart w:id="39" w:name="_Toc15377209"/>
      <w:bookmarkStart w:id="40" w:name="_Toc15396607"/>
      <w:r>
        <w:rPr>
          <w:rFonts w:hint="eastAsia" w:ascii="黑体" w:hAnsi="黑体" w:eastAsia="黑体"/>
          <w:sz w:val="32"/>
          <w:szCs w:val="32"/>
        </w:rPr>
        <w:t>五、</w:t>
      </w:r>
      <w:r>
        <w:rPr>
          <w:rFonts w:hint="eastAsia" w:ascii="黑体" w:hAnsi="黑体" w:eastAsia="黑体"/>
          <w:b/>
          <w:sz w:val="32"/>
          <w:szCs w:val="32"/>
        </w:rPr>
        <w:t>一</w:t>
      </w:r>
      <w:r>
        <w:rPr>
          <w:rStyle w:val="20"/>
          <w:rFonts w:hint="eastAsia" w:ascii="黑体" w:hAnsi="黑体" w:eastAsia="黑体"/>
          <w:b w:val="0"/>
        </w:rPr>
        <w:t>般公共预算财政拨款支出决算情况说明</w:t>
      </w:r>
      <w:bookmarkEnd w:id="38"/>
      <w:bookmarkEnd w:id="39"/>
      <w:bookmarkEnd w:id="40"/>
    </w:p>
    <w:p>
      <w:pPr>
        <w:spacing w:line="600" w:lineRule="exact"/>
        <w:ind w:firstLine="643" w:firstLineChars="200"/>
        <w:outlineLvl w:val="2"/>
        <w:rPr>
          <w:rFonts w:hint="eastAsia" w:ascii="楷体" w:hAnsi="楷体" w:eastAsia="楷体" w:cs="楷体"/>
          <w:b/>
          <w:sz w:val="32"/>
          <w:szCs w:val="32"/>
        </w:rPr>
      </w:pPr>
      <w:bookmarkStart w:id="41" w:name="_Toc15377210"/>
      <w:r>
        <w:rPr>
          <w:rFonts w:hint="eastAsia" w:ascii="仿宋" w:hAnsi="仿宋" w:eastAsia="仿宋"/>
          <w:b/>
          <w:sz w:val="32"/>
          <w:szCs w:val="32"/>
        </w:rPr>
        <w:t>（一）</w:t>
      </w:r>
      <w:r>
        <w:rPr>
          <w:rFonts w:hint="eastAsia" w:ascii="楷体" w:hAnsi="楷体" w:eastAsia="楷体" w:cs="楷体"/>
          <w:b/>
          <w:sz w:val="32"/>
          <w:szCs w:val="32"/>
        </w:rPr>
        <w:t>一般公共预算财政拨款支出决算总体情况</w:t>
      </w:r>
      <w:bookmarkEnd w:id="41"/>
    </w:p>
    <w:p>
      <w:pPr>
        <w:spacing w:line="60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2022年一般公共预算财政拨款支出2119.65万元，占本年支出合计的54.52%。与2021年相比，一般公共预算财政拨款支出减少614.54万元，下降22.48%。主要变动原因是2022年优抚安置事业单位维修改造和设备购置项目经费减少。</w:t>
      </w:r>
    </w:p>
    <w:p>
      <w:pPr>
        <w:pStyle w:val="2"/>
        <w:spacing w:before="93"/>
        <w:jc w:val="center"/>
      </w:pPr>
      <w:r>
        <w:drawing>
          <wp:inline distT="0" distB="0" distL="114300" distR="114300">
            <wp:extent cx="4572000" cy="2743200"/>
            <wp:effectExtent l="4445" t="4445" r="14605" b="14605"/>
            <wp:docPr id="5" name="图表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rPr>
          <w:rFonts w:hint="eastAsia" w:ascii="宋体" w:hAnsi="宋体" w:eastAsia="宋体" w:cs="宋体"/>
          <w:sz w:val="32"/>
          <w:szCs w:val="32"/>
        </w:rPr>
      </w:pPr>
      <w:r>
        <w:rPr>
          <w:rFonts w:hint="eastAsia" w:ascii="宋体" w:hAnsi="宋体" w:cs="宋体"/>
          <w:sz w:val="32"/>
          <w:szCs w:val="32"/>
          <w:lang w:val="en-US" w:eastAsia="zh-CN"/>
        </w:rPr>
        <w:t xml:space="preserve">     </w:t>
      </w:r>
      <w:r>
        <w:rPr>
          <w:rFonts w:hint="eastAsia" w:ascii="宋体" w:hAnsi="宋体" w:eastAsia="宋体" w:cs="宋体"/>
          <w:sz w:val="32"/>
          <w:szCs w:val="32"/>
        </w:rPr>
        <w:t>图5：一般公共预算财政拨款支出决算变动情况</w:t>
      </w:r>
    </w:p>
    <w:p>
      <w:pPr>
        <w:spacing w:line="600" w:lineRule="exact"/>
        <w:ind w:firstLine="643" w:firstLineChars="200"/>
        <w:outlineLvl w:val="2"/>
        <w:rPr>
          <w:rFonts w:hint="eastAsia" w:ascii="楷体" w:hAnsi="楷体" w:eastAsia="楷体" w:cs="楷体"/>
          <w:b/>
          <w:sz w:val="32"/>
          <w:szCs w:val="32"/>
        </w:rPr>
      </w:pPr>
      <w:bookmarkStart w:id="42" w:name="_Toc15377211"/>
      <w:r>
        <w:rPr>
          <w:rFonts w:hint="eastAsia" w:ascii="仿宋" w:hAnsi="仿宋" w:eastAsia="仿宋"/>
          <w:b/>
          <w:sz w:val="32"/>
          <w:szCs w:val="32"/>
        </w:rPr>
        <w:t>（二）</w:t>
      </w:r>
      <w:r>
        <w:rPr>
          <w:rFonts w:hint="eastAsia" w:ascii="楷体" w:hAnsi="楷体" w:eastAsia="楷体" w:cs="楷体"/>
          <w:b/>
          <w:sz w:val="32"/>
          <w:szCs w:val="32"/>
        </w:rPr>
        <w:t>一般公共预算财政拨款支出决算结构情况</w:t>
      </w:r>
      <w:bookmarkEnd w:id="42"/>
    </w:p>
    <w:p>
      <w:pPr>
        <w:spacing w:line="600" w:lineRule="exact"/>
        <w:ind w:firstLine="640"/>
        <w:rPr>
          <w:rFonts w:hint="eastAsia" w:ascii="宋体" w:hAnsi="宋体" w:eastAsia="宋体" w:cs="宋体"/>
          <w:b w:val="0"/>
          <w:bCs w:val="0"/>
          <w:sz w:val="32"/>
          <w:szCs w:val="32"/>
        </w:rPr>
      </w:pPr>
      <w:r>
        <w:rPr>
          <w:rFonts w:hint="eastAsia" w:ascii="宋体" w:hAnsi="宋体" w:eastAsia="宋体" w:cs="宋体"/>
          <w:b w:val="0"/>
          <w:bCs w:val="0"/>
          <w:sz w:val="32"/>
          <w:szCs w:val="32"/>
        </w:rPr>
        <w:t>2022年一般公共预算财政拨款支出2119.65万元，主要用于以下方面:社会保障和就业支出1689.65万元，占79.71%；卫生健康支出330万元，占15.57%；住房保障支出100万元，占4.72%。</w:t>
      </w:r>
    </w:p>
    <w:p>
      <w:pPr>
        <w:pStyle w:val="2"/>
        <w:spacing w:before="93"/>
        <w:jc w:val="center"/>
      </w:pPr>
      <w:r>
        <w:drawing>
          <wp:inline distT="0" distB="0" distL="114300" distR="114300">
            <wp:extent cx="4572000" cy="3086100"/>
            <wp:effectExtent l="4445" t="4445" r="14605" b="14605"/>
            <wp:docPr id="6"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960" w:firstLineChars="300"/>
        <w:rPr>
          <w:rFonts w:hint="eastAsia" w:ascii="宋体" w:hAnsi="宋体" w:eastAsia="宋体" w:cs="宋体"/>
          <w:sz w:val="32"/>
          <w:szCs w:val="32"/>
        </w:rPr>
      </w:pPr>
      <w:r>
        <w:rPr>
          <w:rFonts w:hint="eastAsia" w:ascii="宋体" w:hAnsi="宋体" w:eastAsia="宋体" w:cs="宋体"/>
          <w:sz w:val="32"/>
          <w:szCs w:val="32"/>
        </w:rPr>
        <w:t>图6：一般公共预算财政拨款支出决算结构</w:t>
      </w:r>
    </w:p>
    <w:p>
      <w:pPr>
        <w:spacing w:line="600" w:lineRule="exact"/>
        <w:ind w:firstLine="643" w:firstLineChars="200"/>
        <w:outlineLvl w:val="2"/>
        <w:rPr>
          <w:rFonts w:hint="eastAsia" w:ascii="楷体" w:hAnsi="楷体" w:eastAsia="楷体" w:cs="楷体"/>
          <w:b/>
          <w:sz w:val="32"/>
          <w:szCs w:val="32"/>
        </w:rPr>
      </w:pPr>
      <w:bookmarkStart w:id="43" w:name="_Toc15377212"/>
      <w:r>
        <w:rPr>
          <w:rFonts w:hint="eastAsia" w:ascii="仿宋" w:hAnsi="仿宋" w:eastAsia="仿宋"/>
          <w:b/>
          <w:sz w:val="32"/>
          <w:szCs w:val="32"/>
        </w:rPr>
        <w:t>（三）</w:t>
      </w:r>
      <w:r>
        <w:rPr>
          <w:rFonts w:hint="eastAsia" w:ascii="楷体" w:hAnsi="楷体" w:eastAsia="楷体" w:cs="楷体"/>
          <w:b/>
          <w:sz w:val="32"/>
          <w:szCs w:val="32"/>
        </w:rPr>
        <w:t>一般公共预算财政拨款支出决算具体情况</w:t>
      </w:r>
      <w:bookmarkEnd w:id="43"/>
    </w:p>
    <w:p>
      <w:pPr>
        <w:spacing w:line="600" w:lineRule="exact"/>
        <w:ind w:firstLine="643" w:firstLineChars="200"/>
        <w:outlineLvl w:val="1"/>
        <w:rPr>
          <w:rFonts w:hint="eastAsia" w:ascii="宋体" w:hAnsi="宋体" w:eastAsia="宋体" w:cs="宋体"/>
          <w:sz w:val="32"/>
          <w:szCs w:val="32"/>
        </w:rPr>
      </w:pPr>
      <w:bookmarkStart w:id="44" w:name="_Toc27671"/>
      <w:bookmarkStart w:id="45" w:name="_Toc15377213"/>
      <w:bookmarkStart w:id="46" w:name="_Toc15378460"/>
      <w:bookmarkStart w:id="47" w:name="_Toc15377444"/>
      <w:r>
        <w:rPr>
          <w:rFonts w:hint="eastAsia" w:ascii="宋体" w:hAnsi="宋体" w:eastAsia="宋体" w:cs="宋体"/>
          <w:b/>
          <w:sz w:val="32"/>
          <w:szCs w:val="32"/>
        </w:rPr>
        <w:t>2022年一般公共预算支出决算数为2119.65</w:t>
      </w:r>
      <w:r>
        <w:rPr>
          <w:rFonts w:hint="eastAsia" w:ascii="宋体" w:hAnsi="宋体" w:cs="宋体"/>
          <w:b/>
          <w:sz w:val="32"/>
          <w:szCs w:val="32"/>
          <w:lang w:val="en-US" w:eastAsia="zh-CN"/>
        </w:rPr>
        <w:t>万元</w:t>
      </w:r>
      <w:r>
        <w:rPr>
          <w:rFonts w:hint="eastAsia" w:ascii="宋体" w:hAnsi="宋体" w:eastAsia="宋体" w:cs="宋体"/>
          <w:sz w:val="32"/>
          <w:szCs w:val="32"/>
        </w:rPr>
        <w:t>，</w:t>
      </w:r>
      <w:r>
        <w:rPr>
          <w:rStyle w:val="16"/>
          <w:rFonts w:hint="eastAsia" w:ascii="宋体" w:hAnsi="宋体" w:eastAsia="宋体" w:cs="宋体"/>
          <w:bCs/>
          <w:sz w:val="32"/>
          <w:szCs w:val="32"/>
        </w:rPr>
        <w:t>完成预算100%。其中：</w:t>
      </w:r>
      <w:bookmarkEnd w:id="44"/>
      <w:bookmarkEnd w:id="45"/>
      <w:bookmarkEnd w:id="46"/>
      <w:bookmarkEnd w:id="47"/>
    </w:p>
    <w:p>
      <w:pPr>
        <w:spacing w:line="600" w:lineRule="exact"/>
        <w:ind w:firstLine="643" w:firstLineChars="200"/>
        <w:rPr>
          <w:rStyle w:val="16"/>
          <w:rFonts w:hint="eastAsia" w:ascii="宋体" w:hAnsi="宋体" w:eastAsia="宋体" w:cs="宋体"/>
          <w:b w:val="0"/>
          <w:bCs/>
          <w:sz w:val="32"/>
          <w:szCs w:val="32"/>
        </w:rPr>
      </w:pPr>
      <w:r>
        <w:rPr>
          <w:rStyle w:val="16"/>
          <w:rFonts w:hint="eastAsia" w:ascii="宋体" w:hAnsi="宋体" w:eastAsia="宋体" w:cs="宋体"/>
          <w:bCs/>
          <w:sz w:val="32"/>
          <w:szCs w:val="32"/>
        </w:rPr>
        <w:t>1.社会保障和就业支出（类）行政事业单位养老支出（款）事业单位离退休（项）:</w:t>
      </w:r>
      <w:r>
        <w:rPr>
          <w:rStyle w:val="16"/>
          <w:rFonts w:hint="eastAsia" w:ascii="宋体" w:hAnsi="宋体" w:eastAsia="宋体" w:cs="宋体"/>
          <w:b w:val="0"/>
          <w:bCs/>
          <w:sz w:val="32"/>
          <w:szCs w:val="32"/>
        </w:rPr>
        <w:t xml:space="preserve"> 支出决算为29.15万元，完成预算100%。</w:t>
      </w:r>
    </w:p>
    <w:p>
      <w:pPr>
        <w:spacing w:line="600" w:lineRule="exact"/>
        <w:ind w:firstLine="643" w:firstLineChars="200"/>
        <w:rPr>
          <w:rStyle w:val="16"/>
          <w:rFonts w:hint="eastAsia" w:ascii="宋体" w:hAnsi="宋体" w:eastAsia="宋体" w:cs="宋体"/>
          <w:b w:val="0"/>
          <w:bCs/>
          <w:sz w:val="32"/>
          <w:szCs w:val="32"/>
        </w:rPr>
      </w:pPr>
      <w:r>
        <w:rPr>
          <w:rStyle w:val="16"/>
          <w:rFonts w:hint="eastAsia" w:ascii="宋体" w:hAnsi="宋体" w:eastAsia="宋体" w:cs="宋体"/>
          <w:bCs/>
          <w:sz w:val="32"/>
          <w:szCs w:val="32"/>
        </w:rPr>
        <w:t>2.社会保障和就业支出（类）行政事业单位养老支出（款）机关事业单位基本养老保险缴费支出（项）:</w:t>
      </w:r>
      <w:r>
        <w:rPr>
          <w:rStyle w:val="16"/>
          <w:rFonts w:hint="eastAsia" w:ascii="宋体" w:hAnsi="宋体" w:eastAsia="宋体" w:cs="宋体"/>
          <w:b w:val="0"/>
          <w:bCs/>
          <w:sz w:val="32"/>
          <w:szCs w:val="32"/>
        </w:rPr>
        <w:t xml:space="preserve"> 支出决算为100万元，完成预算100%。</w:t>
      </w:r>
    </w:p>
    <w:p>
      <w:pPr>
        <w:spacing w:line="600" w:lineRule="exact"/>
        <w:ind w:firstLine="643" w:firstLineChars="200"/>
        <w:rPr>
          <w:rStyle w:val="16"/>
          <w:rFonts w:hint="eastAsia" w:ascii="宋体" w:hAnsi="宋体" w:eastAsia="宋体" w:cs="宋体"/>
          <w:b w:val="0"/>
          <w:bCs/>
          <w:sz w:val="32"/>
          <w:szCs w:val="32"/>
        </w:rPr>
      </w:pPr>
      <w:r>
        <w:rPr>
          <w:rStyle w:val="16"/>
          <w:rFonts w:hint="eastAsia" w:ascii="宋体" w:hAnsi="宋体" w:eastAsia="宋体" w:cs="宋体"/>
          <w:bCs/>
          <w:sz w:val="32"/>
          <w:szCs w:val="32"/>
        </w:rPr>
        <w:t>3.社会保障和就业支出（类）行政事业单位养老支出（款）机关事业单位职业年金缴费支出（项）:</w:t>
      </w:r>
      <w:r>
        <w:rPr>
          <w:rStyle w:val="16"/>
          <w:rFonts w:hint="eastAsia" w:ascii="宋体" w:hAnsi="宋体" w:eastAsia="宋体" w:cs="宋体"/>
          <w:b w:val="0"/>
          <w:bCs/>
          <w:sz w:val="32"/>
          <w:szCs w:val="32"/>
        </w:rPr>
        <w:t xml:space="preserve"> 支出决算为50万元，完成预算100%。</w:t>
      </w:r>
    </w:p>
    <w:p>
      <w:pPr>
        <w:spacing w:line="600" w:lineRule="exact"/>
        <w:ind w:firstLine="643" w:firstLineChars="200"/>
        <w:rPr>
          <w:rStyle w:val="16"/>
          <w:rFonts w:hint="eastAsia" w:ascii="宋体" w:hAnsi="宋体" w:eastAsia="宋体" w:cs="宋体"/>
          <w:b w:val="0"/>
          <w:bCs/>
          <w:sz w:val="32"/>
          <w:szCs w:val="32"/>
        </w:rPr>
      </w:pPr>
      <w:r>
        <w:rPr>
          <w:rStyle w:val="16"/>
          <w:rFonts w:hint="eastAsia" w:ascii="宋体" w:hAnsi="宋体" w:eastAsia="宋体" w:cs="宋体"/>
          <w:bCs/>
          <w:sz w:val="32"/>
          <w:szCs w:val="32"/>
        </w:rPr>
        <w:t>4.社会保障和就业支出（类）抚恤（款）伤残抚恤（项）:</w:t>
      </w:r>
      <w:r>
        <w:rPr>
          <w:rStyle w:val="16"/>
          <w:rFonts w:hint="eastAsia" w:ascii="宋体" w:hAnsi="宋体" w:eastAsia="宋体" w:cs="宋体"/>
          <w:b w:val="0"/>
          <w:bCs/>
          <w:sz w:val="32"/>
          <w:szCs w:val="32"/>
        </w:rPr>
        <w:t xml:space="preserve"> 支出决算为296.67万元，完成预算100%。</w:t>
      </w:r>
    </w:p>
    <w:p>
      <w:pPr>
        <w:spacing w:line="600" w:lineRule="exact"/>
        <w:ind w:firstLine="643" w:firstLineChars="200"/>
        <w:rPr>
          <w:rStyle w:val="16"/>
          <w:rFonts w:hint="eastAsia" w:ascii="宋体" w:hAnsi="宋体" w:eastAsia="宋体" w:cs="宋体"/>
          <w:b w:val="0"/>
          <w:bCs/>
          <w:sz w:val="32"/>
          <w:szCs w:val="32"/>
        </w:rPr>
      </w:pPr>
      <w:r>
        <w:rPr>
          <w:rStyle w:val="16"/>
          <w:rFonts w:hint="eastAsia" w:ascii="宋体" w:hAnsi="宋体" w:eastAsia="宋体" w:cs="宋体"/>
          <w:bCs/>
          <w:sz w:val="32"/>
          <w:szCs w:val="32"/>
        </w:rPr>
        <w:t>5.社会保障和就业支出（类）抚恤（款）其他优抚支出（项）:</w:t>
      </w:r>
      <w:r>
        <w:rPr>
          <w:rStyle w:val="16"/>
          <w:rFonts w:hint="eastAsia" w:ascii="宋体" w:hAnsi="宋体" w:eastAsia="宋体" w:cs="宋体"/>
          <w:b w:val="0"/>
          <w:bCs/>
          <w:sz w:val="32"/>
          <w:szCs w:val="32"/>
        </w:rPr>
        <w:t xml:space="preserve"> 支出决算为252.90万元，完成预算100%。</w:t>
      </w:r>
    </w:p>
    <w:p>
      <w:pPr>
        <w:pStyle w:val="2"/>
        <w:spacing w:before="93"/>
        <w:ind w:firstLine="643" w:firstLineChars="200"/>
        <w:rPr>
          <w:rStyle w:val="16"/>
          <w:rFonts w:hint="eastAsia" w:ascii="宋体" w:hAnsi="宋体" w:eastAsia="宋体" w:cs="宋体"/>
          <w:b w:val="0"/>
          <w:bCs/>
          <w:sz w:val="32"/>
          <w:szCs w:val="32"/>
        </w:rPr>
      </w:pPr>
      <w:r>
        <w:rPr>
          <w:rStyle w:val="16"/>
          <w:rFonts w:hint="eastAsia" w:ascii="宋体" w:hAnsi="宋体" w:eastAsia="宋体" w:cs="宋体"/>
          <w:bCs/>
          <w:sz w:val="32"/>
          <w:szCs w:val="32"/>
        </w:rPr>
        <w:t>6.社会保障和就业支出（类）退役军人管理事务（款）事业运行（项）:</w:t>
      </w:r>
      <w:r>
        <w:rPr>
          <w:rStyle w:val="16"/>
          <w:rFonts w:hint="eastAsia" w:ascii="宋体" w:hAnsi="宋体" w:eastAsia="宋体" w:cs="宋体"/>
          <w:b w:val="0"/>
          <w:bCs/>
          <w:sz w:val="32"/>
          <w:szCs w:val="32"/>
        </w:rPr>
        <w:t xml:space="preserve"> 支出决算为765.71万元，完成预算100%。</w:t>
      </w:r>
    </w:p>
    <w:p>
      <w:pPr>
        <w:pStyle w:val="2"/>
        <w:spacing w:before="93"/>
        <w:ind w:firstLine="643" w:firstLineChars="200"/>
        <w:rPr>
          <w:rStyle w:val="16"/>
          <w:rFonts w:hint="eastAsia" w:ascii="宋体" w:hAnsi="宋体" w:eastAsia="宋体" w:cs="宋体"/>
          <w:b w:val="0"/>
          <w:bCs/>
          <w:sz w:val="32"/>
          <w:szCs w:val="32"/>
          <w:highlight w:val="none"/>
        </w:rPr>
      </w:pPr>
      <w:r>
        <w:rPr>
          <w:rStyle w:val="16"/>
          <w:rFonts w:hint="eastAsia" w:ascii="宋体" w:hAnsi="宋体" w:eastAsia="宋体" w:cs="宋体"/>
          <w:bCs/>
          <w:sz w:val="32"/>
          <w:szCs w:val="32"/>
        </w:rPr>
        <w:t>7.社会保障和就业支出（类）退役军人管理事务（款）其他退役军人事务管理支出（项）:</w:t>
      </w:r>
      <w:r>
        <w:rPr>
          <w:rStyle w:val="16"/>
          <w:rFonts w:hint="eastAsia" w:ascii="宋体" w:hAnsi="宋体" w:eastAsia="宋体" w:cs="宋体"/>
          <w:b w:val="0"/>
          <w:bCs/>
          <w:sz w:val="32"/>
          <w:szCs w:val="32"/>
        </w:rPr>
        <w:t xml:space="preserve"> 支出决算为186.05万</w:t>
      </w:r>
      <w:r>
        <w:rPr>
          <w:rStyle w:val="16"/>
          <w:rFonts w:hint="eastAsia" w:ascii="宋体" w:hAnsi="宋体" w:eastAsia="宋体" w:cs="宋体"/>
          <w:b w:val="0"/>
          <w:bCs/>
          <w:sz w:val="32"/>
          <w:szCs w:val="32"/>
          <w:highlight w:val="none"/>
        </w:rPr>
        <w:t>元，完成预算100%。</w:t>
      </w:r>
    </w:p>
    <w:p>
      <w:pPr>
        <w:pStyle w:val="2"/>
        <w:spacing w:before="93"/>
        <w:ind w:firstLine="643" w:firstLineChars="200"/>
        <w:rPr>
          <w:rFonts w:hint="eastAsia" w:ascii="宋体" w:hAnsi="宋体" w:eastAsia="宋体" w:cs="宋体"/>
          <w:bCs/>
          <w:sz w:val="32"/>
          <w:szCs w:val="32"/>
          <w:highlight w:val="none"/>
          <w:lang w:val="en-US" w:eastAsia="zh-CN"/>
        </w:rPr>
      </w:pPr>
      <w:r>
        <w:rPr>
          <w:rStyle w:val="16"/>
          <w:rFonts w:hint="eastAsia" w:ascii="宋体" w:hAnsi="宋体" w:eastAsia="宋体" w:cs="宋体"/>
          <w:bCs/>
          <w:sz w:val="32"/>
          <w:szCs w:val="32"/>
          <w:highlight w:val="none"/>
        </w:rPr>
        <w:t>8.社会保障和就业支出（类）其他社会保障和就业支出（款）其他社会保障和就业支出（项）:</w:t>
      </w:r>
      <w:r>
        <w:rPr>
          <w:rStyle w:val="16"/>
          <w:rFonts w:hint="eastAsia" w:ascii="宋体" w:hAnsi="宋体" w:eastAsia="宋体" w:cs="宋体"/>
          <w:b w:val="0"/>
          <w:bCs/>
          <w:sz w:val="32"/>
          <w:szCs w:val="32"/>
          <w:highlight w:val="none"/>
        </w:rPr>
        <w:t xml:space="preserve"> 支出决算为9</w:t>
      </w:r>
      <w:r>
        <w:rPr>
          <w:rStyle w:val="16"/>
          <w:rFonts w:hint="eastAsia" w:ascii="宋体" w:hAnsi="宋体" w:eastAsia="宋体" w:cs="宋体"/>
          <w:b w:val="0"/>
          <w:bCs/>
          <w:sz w:val="32"/>
          <w:szCs w:val="32"/>
          <w:highlight w:val="none"/>
          <w:lang w:val="en-US" w:eastAsia="zh-CN"/>
        </w:rPr>
        <w:t>.16</w:t>
      </w:r>
      <w:r>
        <w:rPr>
          <w:rStyle w:val="16"/>
          <w:rFonts w:hint="eastAsia" w:ascii="宋体" w:hAnsi="宋体" w:eastAsia="宋体" w:cs="宋体"/>
          <w:b w:val="0"/>
          <w:bCs/>
          <w:sz w:val="32"/>
          <w:szCs w:val="32"/>
          <w:highlight w:val="none"/>
        </w:rPr>
        <w:t>万元，完成预算100%</w:t>
      </w:r>
      <w:r>
        <w:rPr>
          <w:rStyle w:val="16"/>
          <w:rFonts w:hint="eastAsia" w:ascii="宋体" w:hAnsi="宋体" w:eastAsia="宋体" w:cs="宋体"/>
          <w:b w:val="0"/>
          <w:bCs/>
          <w:sz w:val="32"/>
          <w:szCs w:val="32"/>
          <w:highlight w:val="none"/>
          <w:lang w:eastAsia="zh-CN"/>
        </w:rPr>
        <w:t>。</w:t>
      </w:r>
    </w:p>
    <w:p>
      <w:pPr>
        <w:pStyle w:val="2"/>
        <w:spacing w:before="93"/>
        <w:ind w:firstLine="643" w:firstLineChars="200"/>
        <w:rPr>
          <w:rFonts w:hint="eastAsia" w:ascii="宋体" w:hAnsi="宋体" w:eastAsia="宋体" w:cs="宋体"/>
          <w:bCs/>
          <w:sz w:val="32"/>
          <w:szCs w:val="32"/>
        </w:rPr>
      </w:pPr>
      <w:r>
        <w:rPr>
          <w:rStyle w:val="16"/>
          <w:rFonts w:hint="eastAsia" w:ascii="宋体" w:hAnsi="宋体" w:eastAsia="宋体" w:cs="宋体"/>
          <w:bCs/>
          <w:sz w:val="32"/>
          <w:szCs w:val="32"/>
        </w:rPr>
        <w:t>9.</w:t>
      </w:r>
      <w:r>
        <w:rPr>
          <w:rFonts w:hint="eastAsia" w:ascii="宋体" w:hAnsi="宋体" w:eastAsia="宋体" w:cs="宋体"/>
          <w:b/>
          <w:bCs/>
          <w:sz w:val="32"/>
          <w:szCs w:val="32"/>
        </w:rPr>
        <w:t>卫生健康支出</w:t>
      </w:r>
      <w:r>
        <w:rPr>
          <w:rStyle w:val="16"/>
          <w:rFonts w:hint="eastAsia" w:ascii="宋体" w:hAnsi="宋体" w:eastAsia="宋体" w:cs="宋体"/>
          <w:bCs/>
          <w:sz w:val="32"/>
          <w:szCs w:val="32"/>
        </w:rPr>
        <w:t>（类）行政事业单位医疗（款）事业单位医疗（项）:</w:t>
      </w:r>
      <w:r>
        <w:rPr>
          <w:rStyle w:val="16"/>
          <w:rFonts w:hint="eastAsia" w:ascii="宋体" w:hAnsi="宋体" w:eastAsia="宋体" w:cs="宋体"/>
          <w:b w:val="0"/>
          <w:bCs/>
          <w:sz w:val="32"/>
          <w:szCs w:val="32"/>
        </w:rPr>
        <w:t xml:space="preserve"> 支出决算为30万元，完成预算100%。</w:t>
      </w:r>
    </w:p>
    <w:p>
      <w:pPr>
        <w:pStyle w:val="2"/>
        <w:spacing w:before="93"/>
        <w:ind w:firstLine="643" w:firstLineChars="200"/>
        <w:rPr>
          <w:rFonts w:hint="eastAsia" w:ascii="宋体" w:hAnsi="宋体" w:eastAsia="宋体" w:cs="宋体"/>
          <w:bCs/>
          <w:sz w:val="32"/>
          <w:szCs w:val="32"/>
        </w:rPr>
      </w:pPr>
      <w:r>
        <w:rPr>
          <w:rStyle w:val="16"/>
          <w:rFonts w:hint="eastAsia" w:ascii="宋体" w:hAnsi="宋体" w:eastAsia="宋体" w:cs="宋体"/>
          <w:bCs/>
          <w:sz w:val="32"/>
          <w:szCs w:val="32"/>
        </w:rPr>
        <w:t>10.</w:t>
      </w:r>
      <w:r>
        <w:rPr>
          <w:rFonts w:hint="eastAsia" w:ascii="宋体" w:hAnsi="宋体" w:eastAsia="宋体" w:cs="宋体"/>
          <w:b/>
          <w:bCs/>
          <w:sz w:val="32"/>
          <w:szCs w:val="32"/>
        </w:rPr>
        <w:t>卫生健康支出</w:t>
      </w:r>
      <w:r>
        <w:rPr>
          <w:rStyle w:val="16"/>
          <w:rFonts w:hint="eastAsia" w:ascii="宋体" w:hAnsi="宋体" w:eastAsia="宋体" w:cs="宋体"/>
          <w:bCs/>
          <w:sz w:val="32"/>
          <w:szCs w:val="32"/>
        </w:rPr>
        <w:t>（类）优抚对象医疗（款）优抚对象医疗补助（项）:</w:t>
      </w:r>
      <w:r>
        <w:rPr>
          <w:rStyle w:val="16"/>
          <w:rFonts w:hint="eastAsia" w:ascii="宋体" w:hAnsi="宋体" w:eastAsia="宋体" w:cs="宋体"/>
          <w:b w:val="0"/>
          <w:bCs/>
          <w:sz w:val="32"/>
          <w:szCs w:val="32"/>
        </w:rPr>
        <w:t xml:space="preserve"> 支出决算为300万元，完成预算100%。</w:t>
      </w:r>
    </w:p>
    <w:p>
      <w:pPr>
        <w:pStyle w:val="2"/>
        <w:spacing w:before="93"/>
        <w:ind w:firstLine="643" w:firstLineChars="200"/>
        <w:rPr>
          <w:rFonts w:hint="eastAsia" w:ascii="宋体" w:hAnsi="宋体" w:eastAsia="宋体" w:cs="宋体"/>
          <w:bCs/>
          <w:sz w:val="32"/>
          <w:szCs w:val="32"/>
        </w:rPr>
      </w:pPr>
      <w:r>
        <w:rPr>
          <w:rStyle w:val="16"/>
          <w:rFonts w:hint="eastAsia" w:ascii="宋体" w:hAnsi="宋体" w:eastAsia="宋体" w:cs="宋体"/>
          <w:bCs/>
          <w:sz w:val="32"/>
          <w:szCs w:val="32"/>
        </w:rPr>
        <w:t>11.</w:t>
      </w:r>
      <w:r>
        <w:rPr>
          <w:rFonts w:hint="eastAsia" w:ascii="宋体" w:hAnsi="宋体" w:eastAsia="宋体" w:cs="宋体"/>
          <w:b/>
          <w:bCs/>
          <w:sz w:val="32"/>
          <w:szCs w:val="32"/>
        </w:rPr>
        <w:t>住房保障支出</w:t>
      </w:r>
      <w:r>
        <w:rPr>
          <w:rStyle w:val="16"/>
          <w:rFonts w:hint="eastAsia" w:ascii="宋体" w:hAnsi="宋体" w:eastAsia="宋体" w:cs="宋体"/>
          <w:bCs/>
          <w:sz w:val="32"/>
          <w:szCs w:val="32"/>
        </w:rPr>
        <w:t>（类）住房改革支出（款）住房公积金（项）:</w:t>
      </w:r>
      <w:r>
        <w:rPr>
          <w:rStyle w:val="16"/>
          <w:rFonts w:hint="eastAsia" w:ascii="宋体" w:hAnsi="宋体" w:eastAsia="宋体" w:cs="宋体"/>
          <w:b w:val="0"/>
          <w:bCs/>
          <w:sz w:val="32"/>
          <w:szCs w:val="32"/>
        </w:rPr>
        <w:t xml:space="preserve"> 支出决算为100万元，完成预算100%。</w:t>
      </w:r>
    </w:p>
    <w:p>
      <w:pPr>
        <w:tabs>
          <w:tab w:val="right" w:pos="8306"/>
        </w:tabs>
        <w:spacing w:line="600" w:lineRule="exact"/>
        <w:ind w:firstLine="640"/>
        <w:outlineLvl w:val="1"/>
        <w:rPr>
          <w:rStyle w:val="20"/>
        </w:rPr>
      </w:pPr>
      <w:bookmarkStart w:id="48" w:name="_Toc14326"/>
      <w:bookmarkStart w:id="49" w:name="_Toc15377214"/>
      <w:bookmarkStart w:id="50"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0"/>
          <w:rFonts w:hint="eastAsia" w:ascii="黑体" w:hAnsi="黑体" w:eastAsia="黑体"/>
          <w:b w:val="0"/>
        </w:rPr>
        <w:t>般公共预算财政拨款基本支出决算情况说明</w:t>
      </w:r>
      <w:bookmarkEnd w:id="48"/>
      <w:bookmarkEnd w:id="49"/>
      <w:bookmarkEnd w:id="50"/>
      <w:r>
        <w:rPr>
          <w:rStyle w:val="20"/>
          <w:rFonts w:ascii="黑体" w:hAnsi="黑体" w:eastAsia="黑体"/>
          <w:b w:val="0"/>
        </w:rPr>
        <w:tab/>
      </w:r>
    </w:p>
    <w:p>
      <w:pPr>
        <w:spacing w:line="600" w:lineRule="exact"/>
        <w:ind w:firstLine="645"/>
        <w:rPr>
          <w:rFonts w:hint="eastAsia" w:ascii="宋体" w:hAnsi="宋体" w:eastAsia="宋体" w:cs="宋体"/>
          <w:sz w:val="32"/>
          <w:szCs w:val="32"/>
        </w:rPr>
      </w:pPr>
      <w:r>
        <w:rPr>
          <w:rFonts w:hint="eastAsia" w:ascii="宋体" w:hAnsi="宋体" w:eastAsia="宋体" w:cs="宋体"/>
          <w:sz w:val="32"/>
          <w:szCs w:val="32"/>
        </w:rPr>
        <w:t>2022年一般公共预算财政拨款基本支出1084.02万元，其中：</w:t>
      </w:r>
    </w:p>
    <w:p>
      <w:pPr>
        <w:spacing w:line="600" w:lineRule="exact"/>
        <w:ind w:firstLine="645"/>
        <w:rPr>
          <w:rFonts w:hint="eastAsia" w:ascii="宋体" w:hAnsi="宋体" w:eastAsia="宋体" w:cs="宋体"/>
          <w:sz w:val="32"/>
          <w:szCs w:val="32"/>
        </w:rPr>
      </w:pPr>
      <w:r>
        <w:rPr>
          <w:rFonts w:hint="eastAsia" w:ascii="宋体" w:hAnsi="宋体" w:eastAsia="宋体" w:cs="宋体"/>
          <w:sz w:val="32"/>
          <w:szCs w:val="32"/>
        </w:rPr>
        <w:t>人员经费995.02万元，主要包括：基本工资、津贴补贴、绩效工资、机关事业单位基本养老保险缴费、职业年金缴费、职工基本医疗保险缴费、其他社会保障缴费、住房公积金、其他工资福利支出、离休费、生活补助、奖励金、其他对个人和家庭的补助支出等。</w:t>
      </w:r>
    </w:p>
    <w:p>
      <w:pPr>
        <w:spacing w:line="60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公用经费89万元，主要包括：办公费、印刷费、咨询费、水费、电费、邮电费、劳务费、工会经费、福利费、公务用车运行维护费、其他商品和服务支出等。</w:t>
      </w:r>
    </w:p>
    <w:p>
      <w:pPr>
        <w:spacing w:line="600" w:lineRule="exact"/>
        <w:ind w:firstLine="640"/>
        <w:outlineLvl w:val="1"/>
        <w:rPr>
          <w:rStyle w:val="20"/>
          <w:rFonts w:ascii="黑体" w:hAnsi="黑体" w:eastAsia="黑体"/>
          <w:b w:val="0"/>
        </w:rPr>
      </w:pPr>
      <w:bookmarkStart w:id="51" w:name="_Toc15377215"/>
      <w:bookmarkStart w:id="52" w:name="_Toc15396609"/>
      <w:bookmarkStart w:id="53" w:name="_Toc10480"/>
      <w:r>
        <w:rPr>
          <w:rFonts w:hint="eastAsia" w:ascii="黑体" w:eastAsia="黑体"/>
          <w:sz w:val="32"/>
          <w:szCs w:val="32"/>
        </w:rPr>
        <w:t>七、</w:t>
      </w:r>
      <w:r>
        <w:rPr>
          <w:rStyle w:val="20"/>
          <w:rFonts w:hint="eastAsia" w:ascii="黑体" w:hAnsi="黑体" w:eastAsia="黑体"/>
          <w:b w:val="0"/>
        </w:rPr>
        <w:t>财政拨款</w:t>
      </w:r>
      <w:r>
        <w:rPr>
          <w:rStyle w:val="20"/>
          <w:rFonts w:hint="eastAsia" w:ascii="黑体" w:hAnsi="黑体" w:eastAsia="黑体"/>
        </w:rPr>
        <w:t>“</w:t>
      </w:r>
      <w:r>
        <w:rPr>
          <w:rStyle w:val="20"/>
          <w:rFonts w:hint="eastAsia" w:ascii="黑体" w:hAnsi="黑体" w:eastAsia="黑体"/>
          <w:b w:val="0"/>
        </w:rPr>
        <w:t>三公”经费支出决算情况说明</w:t>
      </w:r>
      <w:bookmarkEnd w:id="51"/>
      <w:bookmarkEnd w:id="52"/>
      <w:bookmarkEnd w:id="53"/>
    </w:p>
    <w:p>
      <w:pPr>
        <w:spacing w:line="600" w:lineRule="exact"/>
        <w:ind w:firstLine="640"/>
        <w:outlineLvl w:val="2"/>
        <w:rPr>
          <w:rFonts w:hint="eastAsia" w:ascii="楷体" w:hAnsi="楷体" w:eastAsia="楷体" w:cs="楷体"/>
          <w:b/>
          <w:sz w:val="32"/>
          <w:szCs w:val="32"/>
        </w:rPr>
      </w:pPr>
      <w:bookmarkStart w:id="54" w:name="_Toc15377216"/>
      <w:r>
        <w:rPr>
          <w:rFonts w:hint="eastAsia" w:ascii="仿宋" w:hAnsi="仿宋" w:eastAsia="仿宋"/>
          <w:b/>
          <w:sz w:val="32"/>
          <w:szCs w:val="32"/>
        </w:rPr>
        <w:t>（一）</w:t>
      </w:r>
      <w:r>
        <w:rPr>
          <w:rFonts w:hint="eastAsia" w:ascii="楷体" w:hAnsi="楷体" w:eastAsia="楷体" w:cs="楷体"/>
          <w:b/>
          <w:sz w:val="32"/>
          <w:szCs w:val="32"/>
        </w:rPr>
        <w:t>“三公”经费财政拨款支出决算总体情况说明</w:t>
      </w:r>
      <w:bookmarkEnd w:id="54"/>
    </w:p>
    <w:p>
      <w:pPr>
        <w:spacing w:line="600" w:lineRule="exact"/>
        <w:ind w:firstLine="640"/>
        <w:rPr>
          <w:rFonts w:hint="eastAsia" w:ascii="仿宋" w:hAnsi="仿宋" w:eastAsia="宋体"/>
          <w:sz w:val="32"/>
          <w:szCs w:val="32"/>
          <w:lang w:eastAsia="zh-CN"/>
        </w:rPr>
      </w:pPr>
      <w:r>
        <w:rPr>
          <w:rFonts w:hint="eastAsia" w:ascii="宋体" w:hAnsi="宋体" w:eastAsia="宋体" w:cs="宋体"/>
          <w:sz w:val="32"/>
          <w:szCs w:val="32"/>
        </w:rPr>
        <w:t>2022年“三公”经费财政拨款支出决算为6万元，完成预算100%，</w:t>
      </w:r>
      <w:r>
        <w:rPr>
          <w:rFonts w:hint="eastAsia" w:ascii="宋体" w:hAnsi="宋体" w:cs="宋体"/>
          <w:sz w:val="32"/>
          <w:szCs w:val="32"/>
          <w:lang w:val="en-US" w:eastAsia="zh-CN"/>
        </w:rPr>
        <w:t>同上年一致，</w:t>
      </w:r>
      <w:r>
        <w:rPr>
          <w:rFonts w:hint="eastAsia" w:ascii="宋体" w:hAnsi="宋体" w:eastAsia="宋体" w:cs="宋体"/>
          <w:sz w:val="32"/>
          <w:szCs w:val="32"/>
        </w:rPr>
        <w:t>决算数与预算数持平。</w:t>
      </w:r>
    </w:p>
    <w:p>
      <w:pPr>
        <w:spacing w:line="600" w:lineRule="exact"/>
        <w:ind w:firstLine="640"/>
        <w:outlineLvl w:val="2"/>
        <w:rPr>
          <w:rFonts w:ascii="仿宋" w:hAnsi="仿宋" w:eastAsia="仿宋"/>
          <w:b/>
          <w:sz w:val="32"/>
          <w:szCs w:val="32"/>
        </w:rPr>
      </w:pPr>
      <w:bookmarkStart w:id="55" w:name="_Toc15377217"/>
      <w:r>
        <w:rPr>
          <w:rFonts w:hint="eastAsia" w:ascii="仿宋" w:hAnsi="仿宋" w:eastAsia="仿宋"/>
          <w:b/>
          <w:sz w:val="32"/>
          <w:szCs w:val="32"/>
        </w:rPr>
        <w:t>（二）“三公”经费财政拨款支出决算具体情况说明</w:t>
      </w:r>
      <w:bookmarkEnd w:id="55"/>
    </w:p>
    <w:p>
      <w:pPr>
        <w:spacing w:line="600" w:lineRule="exact"/>
        <w:ind w:firstLine="640"/>
        <w:rPr>
          <w:rFonts w:hint="eastAsia" w:ascii="宋体" w:hAnsi="宋体" w:eastAsia="宋体" w:cs="宋体"/>
          <w:sz w:val="32"/>
          <w:szCs w:val="32"/>
        </w:rPr>
      </w:pPr>
      <w:r>
        <w:rPr>
          <w:rFonts w:hint="eastAsia" w:ascii="宋体" w:hAnsi="宋体" w:eastAsia="宋体" w:cs="宋体"/>
          <w:sz w:val="32"/>
          <w:szCs w:val="32"/>
        </w:rPr>
        <w:t>2022年“三公”经费财政拨款支出决算中，因公出国（境）费支出决算0万元，占0%；公务用车购置及运行维护费支出决算6万元，占100%；公务接待费支出决算0万元，占0%。具体情况如下：</w:t>
      </w:r>
    </w:p>
    <w:p>
      <w:pPr>
        <w:pStyle w:val="2"/>
        <w:spacing w:before="93"/>
        <w:jc w:val="center"/>
      </w:pPr>
      <w:r>
        <w:drawing>
          <wp:inline distT="0" distB="0" distL="114300" distR="114300">
            <wp:extent cx="4572000" cy="2743200"/>
            <wp:effectExtent l="4445" t="4445" r="14605" b="14605"/>
            <wp:docPr id="7" name="图表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1609" w:firstLineChars="503"/>
        <w:rPr>
          <w:rFonts w:hint="eastAsia" w:ascii="宋体" w:hAnsi="宋体" w:eastAsia="宋体" w:cs="宋体"/>
          <w:sz w:val="32"/>
          <w:szCs w:val="32"/>
          <w:lang w:eastAsia="zh-CN"/>
        </w:rPr>
      </w:pPr>
      <w:r>
        <w:rPr>
          <w:rFonts w:hint="eastAsia" w:ascii="宋体" w:hAnsi="宋体" w:eastAsia="宋体" w:cs="宋体"/>
          <w:sz w:val="32"/>
          <w:szCs w:val="32"/>
        </w:rPr>
        <w:t>图7：“三公”经费财政拨款支出结构</w:t>
      </w:r>
      <w:r>
        <w:rPr>
          <w:rFonts w:hint="eastAsia" w:ascii="宋体" w:hAnsi="宋体" w:cs="宋体"/>
          <w:sz w:val="32"/>
          <w:szCs w:val="32"/>
          <w:lang w:val="en-US" w:eastAsia="zh-CN"/>
        </w:rPr>
        <w:t xml:space="preserve"> </w:t>
      </w:r>
    </w:p>
    <w:p>
      <w:pPr>
        <w:spacing w:line="600" w:lineRule="exact"/>
        <w:ind w:firstLine="640"/>
        <w:rPr>
          <w:rFonts w:hint="eastAsia" w:ascii="宋体" w:hAnsi="宋体" w:eastAsia="宋体" w:cs="宋体"/>
          <w:sz w:val="32"/>
          <w:szCs w:val="32"/>
        </w:rPr>
      </w:pPr>
      <w:r>
        <w:rPr>
          <w:rFonts w:hint="eastAsia" w:ascii="宋体" w:hAnsi="宋体" w:eastAsia="宋体" w:cs="宋体"/>
          <w:b/>
          <w:sz w:val="32"/>
          <w:szCs w:val="32"/>
        </w:rPr>
        <w:t>1.因公出国（境）经费支出</w:t>
      </w:r>
      <w:r>
        <w:rPr>
          <w:rFonts w:hint="eastAsia" w:ascii="宋体" w:hAnsi="宋体" w:eastAsia="宋体" w:cs="宋体"/>
          <w:sz w:val="32"/>
          <w:szCs w:val="32"/>
        </w:rPr>
        <w:t>0万元，全年安排因公出国（境）团组0次，出国（境）0人。因公出国（境）支出决算与2021年持平。</w:t>
      </w:r>
    </w:p>
    <w:p>
      <w:pPr>
        <w:spacing w:line="600" w:lineRule="exact"/>
        <w:ind w:firstLine="640"/>
        <w:rPr>
          <w:rFonts w:hint="eastAsia" w:ascii="宋体" w:hAnsi="宋体" w:eastAsia="宋体" w:cs="宋体"/>
          <w:sz w:val="32"/>
          <w:szCs w:val="32"/>
        </w:rPr>
      </w:pPr>
      <w:r>
        <w:rPr>
          <w:rFonts w:hint="eastAsia" w:ascii="宋体" w:hAnsi="宋体" w:eastAsia="宋体" w:cs="宋体"/>
          <w:b/>
          <w:sz w:val="32"/>
          <w:szCs w:val="32"/>
        </w:rPr>
        <w:t>2.公务用车购置及运行维护费支出</w:t>
      </w:r>
      <w:r>
        <w:rPr>
          <w:rFonts w:hint="eastAsia" w:ascii="宋体" w:hAnsi="宋体" w:eastAsia="宋体" w:cs="宋体"/>
          <w:sz w:val="32"/>
          <w:szCs w:val="32"/>
        </w:rPr>
        <w:t>6万元,</w:t>
      </w:r>
      <w:r>
        <w:rPr>
          <w:rStyle w:val="16"/>
          <w:rFonts w:hint="eastAsia" w:ascii="宋体" w:hAnsi="宋体" w:eastAsia="宋体" w:cs="宋体"/>
          <w:b w:val="0"/>
          <w:bCs/>
          <w:sz w:val="32"/>
          <w:szCs w:val="32"/>
        </w:rPr>
        <w:t>完成预算100%。</w:t>
      </w:r>
      <w:r>
        <w:rPr>
          <w:rFonts w:hint="eastAsia" w:ascii="宋体" w:hAnsi="宋体" w:eastAsia="宋体" w:cs="宋体"/>
          <w:sz w:val="32"/>
          <w:szCs w:val="32"/>
        </w:rPr>
        <w:t>公务用车购置及运行维护费支出决算与2021年持平。</w:t>
      </w:r>
    </w:p>
    <w:p>
      <w:pPr>
        <w:spacing w:line="600" w:lineRule="exact"/>
        <w:ind w:firstLine="640" w:firstLineChars="200"/>
        <w:rPr>
          <w:rFonts w:hint="eastAsia" w:ascii="宋体" w:hAnsi="宋体" w:eastAsia="宋体" w:cs="宋体"/>
          <w:b/>
          <w:color w:val="000000"/>
          <w:sz w:val="32"/>
          <w:szCs w:val="32"/>
        </w:rPr>
      </w:pPr>
      <w:r>
        <w:rPr>
          <w:rFonts w:hint="eastAsia" w:ascii="宋体" w:hAnsi="宋体" w:eastAsia="宋体" w:cs="宋体"/>
          <w:sz w:val="32"/>
          <w:szCs w:val="32"/>
        </w:rPr>
        <w:t>其中：</w:t>
      </w:r>
      <w:r>
        <w:rPr>
          <w:rFonts w:hint="eastAsia" w:ascii="宋体" w:hAnsi="宋体" w:eastAsia="宋体" w:cs="宋体"/>
          <w:b/>
          <w:sz w:val="32"/>
          <w:szCs w:val="32"/>
        </w:rPr>
        <w:t>公务用车购置支出</w:t>
      </w:r>
      <w:r>
        <w:rPr>
          <w:rFonts w:hint="eastAsia" w:ascii="宋体" w:hAnsi="宋体" w:eastAsia="宋体" w:cs="宋体"/>
          <w:sz w:val="32"/>
          <w:szCs w:val="32"/>
        </w:rPr>
        <w:t>0万元。全年按规定更新购置公务用车0辆，其中：轿车0辆、金额0万元，越野车0辆、金额0万元，载客汽车0辆、金额0万元。截至2022年12月底，单位共有公务用车5辆，其中：轿车1辆、越野车1辆、载客汽车1辆</w:t>
      </w:r>
      <w:r>
        <w:rPr>
          <w:rFonts w:hint="eastAsia" w:ascii="宋体" w:hAnsi="宋体" w:cs="宋体"/>
          <w:color w:val="000000"/>
          <w:sz w:val="32"/>
          <w:szCs w:val="32"/>
          <w:highlight w:val="none"/>
          <w:u w:val="none"/>
          <w:lang w:eastAsia="zh-CN"/>
        </w:rPr>
        <w:t>，</w:t>
      </w:r>
      <w:r>
        <w:rPr>
          <w:rFonts w:hint="eastAsia" w:ascii="宋体" w:hAnsi="宋体" w:cs="宋体"/>
          <w:color w:val="000000"/>
          <w:sz w:val="32"/>
          <w:szCs w:val="32"/>
          <w:highlight w:val="none"/>
          <w:u w:val="none"/>
          <w:lang w:val="en-US" w:eastAsia="zh-CN"/>
        </w:rPr>
        <w:t>其他车辆</w:t>
      </w:r>
      <w:r>
        <w:rPr>
          <w:rFonts w:hint="eastAsia" w:ascii="宋体" w:hAnsi="宋体" w:cs="宋体"/>
          <w:color w:val="000000"/>
          <w:sz w:val="32"/>
          <w:szCs w:val="32"/>
          <w:u w:val="none"/>
          <w:lang w:val="en-US" w:eastAsia="zh-CN"/>
        </w:rPr>
        <w:t>2辆</w:t>
      </w:r>
      <w:r>
        <w:rPr>
          <w:rFonts w:hint="eastAsia" w:ascii="宋体" w:hAnsi="宋体" w:eastAsia="宋体" w:cs="宋体"/>
          <w:color w:val="000000"/>
          <w:sz w:val="32"/>
          <w:szCs w:val="32"/>
        </w:rPr>
        <w:t>。</w:t>
      </w:r>
    </w:p>
    <w:p>
      <w:pPr>
        <w:spacing w:line="600" w:lineRule="exact"/>
        <w:ind w:firstLine="640"/>
        <w:rPr>
          <w:rFonts w:hint="eastAsia" w:ascii="宋体" w:hAnsi="宋体" w:eastAsia="宋体" w:cs="宋体"/>
          <w:sz w:val="32"/>
          <w:szCs w:val="32"/>
        </w:rPr>
      </w:pPr>
      <w:r>
        <w:rPr>
          <w:rFonts w:hint="eastAsia" w:ascii="宋体" w:hAnsi="宋体" w:eastAsia="宋体" w:cs="宋体"/>
          <w:b/>
          <w:sz w:val="32"/>
          <w:szCs w:val="32"/>
        </w:rPr>
        <w:t>公务用车运行维护费支出</w:t>
      </w:r>
      <w:r>
        <w:rPr>
          <w:rFonts w:hint="eastAsia" w:ascii="宋体" w:hAnsi="宋体" w:eastAsia="宋体" w:cs="宋体"/>
          <w:sz w:val="32"/>
          <w:szCs w:val="32"/>
        </w:rPr>
        <w:t>6万元。主要用于日常公务、在院伤残军人急诊急救、外出辅助检查、转诊转院等所需的公务用车燃料费、维修费、过路过桥费、保险费等支出。</w:t>
      </w:r>
    </w:p>
    <w:p>
      <w:pPr>
        <w:spacing w:line="600" w:lineRule="exact"/>
        <w:ind w:firstLine="640"/>
        <w:rPr>
          <w:rFonts w:hint="eastAsia" w:ascii="宋体" w:hAnsi="宋体" w:eastAsia="宋体" w:cs="宋体"/>
          <w:sz w:val="32"/>
          <w:szCs w:val="32"/>
        </w:rPr>
      </w:pPr>
      <w:r>
        <w:rPr>
          <w:rFonts w:hint="eastAsia" w:ascii="宋体" w:hAnsi="宋体" w:eastAsia="宋体" w:cs="宋体"/>
          <w:b/>
          <w:sz w:val="32"/>
          <w:szCs w:val="32"/>
        </w:rPr>
        <w:t>3.公务接待费支出</w:t>
      </w:r>
      <w:r>
        <w:rPr>
          <w:rFonts w:hint="eastAsia" w:ascii="宋体" w:hAnsi="宋体" w:eastAsia="宋体" w:cs="宋体"/>
          <w:sz w:val="32"/>
          <w:szCs w:val="32"/>
        </w:rPr>
        <w:t>0万元。公务接待费支出决算与2021年持平。其中：</w:t>
      </w:r>
    </w:p>
    <w:p>
      <w:pPr>
        <w:spacing w:line="600" w:lineRule="exact"/>
        <w:ind w:firstLine="640"/>
        <w:rPr>
          <w:rFonts w:hint="eastAsia" w:ascii="宋体" w:hAnsi="宋体" w:eastAsia="宋体" w:cs="宋体"/>
          <w:sz w:val="32"/>
          <w:szCs w:val="32"/>
        </w:rPr>
      </w:pPr>
      <w:r>
        <w:rPr>
          <w:rFonts w:hint="eastAsia" w:ascii="宋体" w:hAnsi="宋体" w:eastAsia="宋体" w:cs="宋体"/>
          <w:b/>
          <w:sz w:val="32"/>
          <w:szCs w:val="32"/>
        </w:rPr>
        <w:t>国内公务接待支出</w:t>
      </w:r>
      <w:r>
        <w:rPr>
          <w:rFonts w:hint="eastAsia" w:ascii="宋体" w:hAnsi="宋体" w:eastAsia="宋体" w:cs="宋体"/>
          <w:sz w:val="32"/>
          <w:szCs w:val="32"/>
        </w:rPr>
        <w:t>0万元。国内公务接待0批次，0人次（不包括陪同人员），共计支出0万元。</w:t>
      </w:r>
    </w:p>
    <w:p>
      <w:pPr>
        <w:spacing w:line="600" w:lineRule="exact"/>
        <w:ind w:firstLine="643" w:firstLineChars="200"/>
        <w:rPr>
          <w:rFonts w:hint="eastAsia" w:ascii="宋体" w:hAnsi="宋体" w:eastAsia="宋体" w:cs="宋体"/>
          <w:sz w:val="32"/>
          <w:szCs w:val="32"/>
        </w:rPr>
      </w:pPr>
      <w:r>
        <w:rPr>
          <w:rFonts w:hint="eastAsia" w:ascii="宋体" w:hAnsi="宋体" w:eastAsia="宋体" w:cs="宋体"/>
          <w:b/>
          <w:sz w:val="32"/>
          <w:szCs w:val="32"/>
        </w:rPr>
        <w:t>外事接待支出</w:t>
      </w:r>
      <w:r>
        <w:rPr>
          <w:rFonts w:hint="eastAsia" w:ascii="宋体" w:hAnsi="宋体" w:eastAsia="宋体" w:cs="宋体"/>
          <w:sz w:val="32"/>
          <w:szCs w:val="32"/>
        </w:rPr>
        <w:t>0万元。外事接待0批次，0人次（不包括陪同人员），共计支出0万元。</w:t>
      </w:r>
      <w:bookmarkStart w:id="56" w:name="_Toc15396610"/>
      <w:bookmarkStart w:id="57" w:name="_Toc15377218"/>
    </w:p>
    <w:p>
      <w:pPr>
        <w:spacing w:line="600" w:lineRule="exact"/>
        <w:ind w:firstLine="640"/>
        <w:outlineLvl w:val="1"/>
        <w:rPr>
          <w:rStyle w:val="20"/>
          <w:rFonts w:ascii="黑体" w:hAnsi="黑体" w:eastAsia="黑体"/>
        </w:rPr>
      </w:pPr>
      <w:bookmarkStart w:id="58" w:name="_Toc10351"/>
      <w:r>
        <w:rPr>
          <w:rFonts w:hint="eastAsia" w:ascii="黑体" w:eastAsia="黑体"/>
          <w:sz w:val="32"/>
          <w:szCs w:val="32"/>
        </w:rPr>
        <w:t>八、</w:t>
      </w:r>
      <w:r>
        <w:rPr>
          <w:rStyle w:val="20"/>
          <w:rFonts w:hint="eastAsia" w:ascii="黑体" w:hAnsi="黑体" w:eastAsia="黑体"/>
          <w:b w:val="0"/>
        </w:rPr>
        <w:t>政府性基金预算支出决算情况说明</w:t>
      </w:r>
      <w:bookmarkEnd w:id="56"/>
      <w:bookmarkEnd w:id="57"/>
      <w:bookmarkEnd w:id="58"/>
    </w:p>
    <w:p>
      <w:pPr>
        <w:spacing w:line="600" w:lineRule="exact"/>
        <w:ind w:firstLine="640"/>
        <w:rPr>
          <w:rFonts w:ascii="仿宋_GB2312" w:eastAsia="仿宋_GB2312"/>
          <w:sz w:val="32"/>
          <w:szCs w:val="32"/>
        </w:rPr>
      </w:pPr>
      <w:r>
        <w:rPr>
          <w:rFonts w:hint="eastAsia" w:ascii="宋体" w:hAnsi="宋体" w:eastAsia="宋体" w:cs="宋体"/>
          <w:sz w:val="32"/>
          <w:szCs w:val="32"/>
        </w:rPr>
        <w:t>2022年政府性基金预算财政拨款支出0万元。</w:t>
      </w:r>
    </w:p>
    <w:p>
      <w:pPr>
        <w:numPr>
          <w:ilvl w:val="0"/>
          <w:numId w:val="2"/>
        </w:numPr>
        <w:spacing w:line="600" w:lineRule="exact"/>
        <w:ind w:firstLine="640"/>
        <w:outlineLvl w:val="1"/>
        <w:rPr>
          <w:rStyle w:val="20"/>
          <w:rFonts w:ascii="黑体" w:hAnsi="黑体" w:eastAsia="黑体"/>
          <w:b w:val="0"/>
        </w:rPr>
      </w:pPr>
      <w:bookmarkStart w:id="59" w:name="_Toc539"/>
      <w:bookmarkStart w:id="60" w:name="_Toc15396611"/>
      <w:bookmarkStart w:id="61" w:name="_Toc15377219"/>
      <w:r>
        <w:rPr>
          <w:rStyle w:val="20"/>
          <w:rFonts w:hint="eastAsia" w:ascii="黑体" w:hAnsi="黑体" w:eastAsia="黑体"/>
          <w:b w:val="0"/>
        </w:rPr>
        <w:t>国有资本经营预算支出决算情况说明</w:t>
      </w:r>
      <w:bookmarkEnd w:id="59"/>
      <w:bookmarkEnd w:id="60"/>
      <w:bookmarkEnd w:id="61"/>
    </w:p>
    <w:p>
      <w:pPr>
        <w:spacing w:line="600" w:lineRule="exact"/>
        <w:ind w:firstLine="640"/>
        <w:rPr>
          <w:rFonts w:hint="eastAsia" w:ascii="宋体" w:hAnsi="宋体" w:eastAsia="宋体" w:cs="宋体"/>
          <w:sz w:val="32"/>
          <w:szCs w:val="32"/>
        </w:rPr>
      </w:pPr>
      <w:r>
        <w:rPr>
          <w:rFonts w:hint="eastAsia" w:ascii="宋体" w:hAnsi="宋体" w:eastAsia="宋体" w:cs="宋体"/>
          <w:sz w:val="32"/>
          <w:szCs w:val="32"/>
        </w:rPr>
        <w:t>2022年国有资本经营预算财政拨款支出0万元。</w:t>
      </w:r>
    </w:p>
    <w:p>
      <w:pPr>
        <w:numPr>
          <w:ilvl w:val="0"/>
          <w:numId w:val="2"/>
        </w:numPr>
        <w:spacing w:line="600" w:lineRule="exact"/>
        <w:ind w:firstLine="640"/>
        <w:outlineLvl w:val="1"/>
        <w:rPr>
          <w:rStyle w:val="20"/>
          <w:rFonts w:ascii="黑体" w:hAnsi="黑体" w:eastAsia="黑体"/>
          <w:b w:val="0"/>
        </w:rPr>
      </w:pPr>
      <w:bookmarkStart w:id="62" w:name="_Toc15377221"/>
      <w:bookmarkStart w:id="63" w:name="_Toc15948"/>
      <w:bookmarkStart w:id="64" w:name="_Toc15396612"/>
      <w:r>
        <w:rPr>
          <w:rStyle w:val="20"/>
          <w:rFonts w:hint="eastAsia" w:ascii="黑体" w:hAnsi="黑体" w:eastAsia="黑体"/>
          <w:b w:val="0"/>
        </w:rPr>
        <w:t>其他重要事项的情况说明</w:t>
      </w:r>
      <w:bookmarkEnd w:id="62"/>
      <w:bookmarkEnd w:id="63"/>
      <w:bookmarkEnd w:id="64"/>
    </w:p>
    <w:p>
      <w:pPr>
        <w:spacing w:line="600" w:lineRule="exact"/>
        <w:ind w:firstLine="643" w:firstLineChars="200"/>
        <w:outlineLvl w:val="2"/>
        <w:rPr>
          <w:rFonts w:hint="eastAsia" w:ascii="楷体" w:hAnsi="楷体" w:eastAsia="楷体" w:cs="楷体"/>
          <w:sz w:val="32"/>
          <w:szCs w:val="32"/>
        </w:rPr>
      </w:pPr>
      <w:bookmarkStart w:id="65" w:name="_Toc15377222"/>
      <w:r>
        <w:rPr>
          <w:rFonts w:hint="eastAsia" w:ascii="仿宋" w:hAnsi="仿宋" w:eastAsia="仿宋"/>
          <w:b/>
          <w:sz w:val="32"/>
          <w:szCs w:val="32"/>
        </w:rPr>
        <w:t>（一）</w:t>
      </w:r>
      <w:r>
        <w:rPr>
          <w:rFonts w:hint="eastAsia" w:ascii="楷体" w:hAnsi="楷体" w:eastAsia="楷体" w:cs="楷体"/>
          <w:b/>
          <w:sz w:val="32"/>
          <w:szCs w:val="32"/>
        </w:rPr>
        <w:t>机关运行经费支出情况</w:t>
      </w:r>
      <w:bookmarkEnd w:id="65"/>
    </w:p>
    <w:p>
      <w:pPr>
        <w:spacing w:line="60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我单位为事业单位，未开支机关运行经费。</w:t>
      </w:r>
    </w:p>
    <w:p>
      <w:pPr>
        <w:autoSpaceDE w:val="0"/>
        <w:autoSpaceDN w:val="0"/>
        <w:adjustRightInd w:val="0"/>
        <w:spacing w:line="600" w:lineRule="exact"/>
        <w:ind w:firstLine="643" w:firstLineChars="200"/>
        <w:jc w:val="left"/>
        <w:outlineLvl w:val="2"/>
        <w:rPr>
          <w:rFonts w:hint="eastAsia" w:ascii="楷体" w:hAnsi="楷体" w:eastAsia="楷体" w:cs="楷体"/>
          <w:b/>
          <w:sz w:val="32"/>
          <w:szCs w:val="32"/>
        </w:rPr>
      </w:pPr>
      <w:bookmarkStart w:id="66" w:name="_Toc15377223"/>
      <w:r>
        <w:rPr>
          <w:rFonts w:hint="eastAsia" w:ascii="仿宋" w:hAnsi="仿宋" w:eastAsia="仿宋"/>
          <w:b/>
          <w:sz w:val="32"/>
          <w:szCs w:val="32"/>
        </w:rPr>
        <w:t>（二）</w:t>
      </w:r>
      <w:r>
        <w:rPr>
          <w:rFonts w:hint="eastAsia" w:ascii="楷体" w:hAnsi="楷体" w:eastAsia="楷体" w:cs="楷体"/>
          <w:b/>
          <w:sz w:val="32"/>
          <w:szCs w:val="32"/>
        </w:rPr>
        <w:t>政府采购支出情况</w:t>
      </w:r>
      <w:bookmarkEnd w:id="66"/>
    </w:p>
    <w:p>
      <w:pPr>
        <w:spacing w:line="60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2022年，本单位政府采购支出总额20.38万元，其中：政府采购货物支出0万元、政府采购工程支出0万元、政府采购服务支出20.38万元。主要用于公务用车运行维护。授予中小企业合同金额5.8万元，占政府采购支出总额的28.46%，其中：授予小微企业合同金额5.8万元，占政府采购支出总额的28.46%。</w:t>
      </w:r>
    </w:p>
    <w:p>
      <w:pPr>
        <w:autoSpaceDE w:val="0"/>
        <w:autoSpaceDN w:val="0"/>
        <w:adjustRightInd w:val="0"/>
        <w:spacing w:line="600" w:lineRule="exact"/>
        <w:ind w:firstLine="643" w:firstLineChars="200"/>
        <w:jc w:val="left"/>
        <w:outlineLvl w:val="2"/>
        <w:rPr>
          <w:rFonts w:hint="eastAsia" w:ascii="楷体" w:hAnsi="楷体" w:eastAsia="楷体" w:cs="楷体"/>
          <w:b/>
          <w:sz w:val="32"/>
          <w:szCs w:val="32"/>
        </w:rPr>
      </w:pPr>
      <w:bookmarkStart w:id="67" w:name="_Toc15377224"/>
      <w:r>
        <w:rPr>
          <w:rFonts w:hint="eastAsia" w:ascii="仿宋" w:hAnsi="仿宋" w:eastAsia="仿宋"/>
          <w:b/>
          <w:sz w:val="32"/>
          <w:szCs w:val="32"/>
        </w:rPr>
        <w:t>（三）</w:t>
      </w:r>
      <w:r>
        <w:rPr>
          <w:rFonts w:hint="eastAsia" w:ascii="楷体" w:hAnsi="楷体" w:eastAsia="楷体" w:cs="楷体"/>
          <w:b/>
          <w:sz w:val="32"/>
          <w:szCs w:val="32"/>
        </w:rPr>
        <w:t>国有资产占有使用情况</w:t>
      </w:r>
      <w:bookmarkEnd w:id="67"/>
    </w:p>
    <w:p>
      <w:pPr>
        <w:autoSpaceDE w:val="0"/>
        <w:autoSpaceDN w:val="0"/>
        <w:adjustRightInd w:val="0"/>
        <w:spacing w:line="600" w:lineRule="exact"/>
        <w:ind w:firstLine="640" w:firstLineChars="200"/>
        <w:jc w:val="left"/>
        <w:rPr>
          <w:rFonts w:hint="eastAsia" w:ascii="宋体" w:hAnsi="宋体" w:eastAsia="宋体" w:cs="宋体"/>
          <w:color w:val="000000"/>
          <w:sz w:val="32"/>
          <w:szCs w:val="32"/>
        </w:rPr>
      </w:pPr>
      <w:r>
        <w:rPr>
          <w:rFonts w:hint="eastAsia" w:ascii="宋体" w:hAnsi="宋体" w:eastAsia="宋体" w:cs="宋体"/>
          <w:sz w:val="32"/>
          <w:szCs w:val="32"/>
        </w:rPr>
        <w:t>截至2022年12月31日，本单位共有车辆5辆，其中：主要领导干部用车0辆、机要通信用车0辆、应急保障用车1辆、特种专业技术用车2辆、其他用车2辆，其他用车主要是用于巡回医疗用车。</w:t>
      </w:r>
      <w:r>
        <w:rPr>
          <w:rFonts w:hint="eastAsia" w:ascii="宋体" w:hAnsi="宋体" w:eastAsia="宋体" w:cs="宋体"/>
          <w:color w:val="000000"/>
          <w:sz w:val="32"/>
          <w:szCs w:val="32"/>
        </w:rPr>
        <w:t>单价</w:t>
      </w:r>
      <w:r>
        <w:rPr>
          <w:rFonts w:hint="eastAsia" w:ascii="宋体" w:hAnsi="宋体" w:eastAsia="宋体" w:cs="宋体"/>
          <w:color w:val="000000"/>
          <w:sz w:val="32"/>
          <w:szCs w:val="32"/>
          <w:lang w:val="en-US" w:eastAsia="zh-CN"/>
        </w:rPr>
        <w:t>100</w:t>
      </w:r>
      <w:r>
        <w:rPr>
          <w:rFonts w:hint="eastAsia" w:ascii="宋体" w:hAnsi="宋体" w:eastAsia="宋体" w:cs="宋体"/>
          <w:color w:val="000000"/>
          <w:sz w:val="32"/>
          <w:szCs w:val="32"/>
        </w:rPr>
        <w:t>万元</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eastAsia="zh-CN"/>
        </w:rPr>
        <w:t>含</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rPr>
        <w:t>以上设备</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eastAsia="zh-CN"/>
        </w:rPr>
        <w:t>不含车辆</w:t>
      </w:r>
      <w:r>
        <w:rPr>
          <w:rFonts w:hint="eastAsia" w:ascii="宋体" w:hAnsi="宋体" w:eastAsia="宋体" w:cs="宋体"/>
          <w:color w:val="000000"/>
          <w:sz w:val="32"/>
          <w:szCs w:val="32"/>
          <w:lang w:eastAsia="zh-CN"/>
        </w:rPr>
        <w:t>）</w:t>
      </w:r>
      <w:r>
        <w:rPr>
          <w:rFonts w:hint="eastAsia" w:ascii="宋体" w:hAnsi="宋体" w:cs="宋体"/>
          <w:color w:val="000000"/>
          <w:sz w:val="32"/>
          <w:szCs w:val="32"/>
          <w:lang w:val="en-US" w:eastAsia="zh-CN"/>
        </w:rPr>
        <w:t>2</w:t>
      </w:r>
      <w:r>
        <w:rPr>
          <w:rFonts w:hint="eastAsia" w:ascii="宋体" w:hAnsi="宋体" w:eastAsia="宋体" w:cs="宋体"/>
          <w:color w:val="000000"/>
          <w:sz w:val="32"/>
          <w:szCs w:val="32"/>
        </w:rPr>
        <w:t>台。</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w:t>
      </w:r>
      <w:r>
        <w:rPr>
          <w:rFonts w:hint="eastAsia" w:ascii="楷体" w:hAnsi="楷体" w:eastAsia="楷体" w:cs="楷体"/>
          <w:b/>
          <w:sz w:val="32"/>
          <w:szCs w:val="32"/>
        </w:rPr>
        <w:t>预算绩效管理情况</w:t>
      </w:r>
    </w:p>
    <w:p>
      <w:pPr>
        <w:pStyle w:val="2"/>
        <w:spacing w:before="93"/>
        <w:ind w:firstLine="640" w:firstLineChars="200"/>
        <w:rPr>
          <w:rFonts w:hint="eastAsia" w:ascii="宋体" w:hAnsi="宋体" w:eastAsia="宋体" w:cs="宋体"/>
          <w:highlight w:val="yellow"/>
        </w:rPr>
      </w:pPr>
      <w:r>
        <w:rPr>
          <w:rFonts w:hint="eastAsia" w:ascii="宋体" w:hAnsi="宋体" w:eastAsia="宋体" w:cs="宋体"/>
          <w:sz w:val="32"/>
          <w:szCs w:val="32"/>
        </w:rPr>
        <w:t>根据预算绩效管理要求，本单位在2022年度预算编制阶段，</w:t>
      </w:r>
      <w:r>
        <w:rPr>
          <w:rFonts w:hint="eastAsia" w:ascii="宋体" w:hAnsi="宋体" w:eastAsia="宋体" w:cs="宋体"/>
          <w:sz w:val="32"/>
          <w:szCs w:val="32"/>
          <w:highlight w:val="none"/>
        </w:rPr>
        <w:t>组织对重点优抚对象疗养经费</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rPr>
        <w:t>优抚安置事业单位维修改造和设备购置（休养楼）</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rPr>
        <w:t>单位运转项目</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rPr>
        <w:t>上年结转-优抚安置事业单位维修改造和设备购置（疗养楼）、上年结转-优抚安置事业单位维修改造和设备购置（自有资金）</w:t>
      </w:r>
      <w:r>
        <w:rPr>
          <w:rFonts w:hint="eastAsia" w:ascii="宋体" w:hAnsi="宋体" w:eastAsia="宋体" w:cs="宋体"/>
          <w:sz w:val="32"/>
          <w:szCs w:val="32"/>
          <w:highlight w:val="none"/>
          <w:lang w:val="en-US" w:eastAsia="zh-CN"/>
        </w:rPr>
        <w:t>5</w:t>
      </w:r>
      <w:r>
        <w:rPr>
          <w:rFonts w:hint="eastAsia" w:ascii="宋体" w:hAnsi="宋体" w:eastAsia="宋体" w:cs="宋体"/>
          <w:sz w:val="32"/>
          <w:szCs w:val="32"/>
          <w:highlight w:val="none"/>
        </w:rPr>
        <w:t>个</w:t>
      </w:r>
      <w:r>
        <w:rPr>
          <w:rFonts w:hint="eastAsia" w:ascii="宋体" w:hAnsi="宋体" w:eastAsia="宋体" w:cs="宋体"/>
          <w:sz w:val="32"/>
          <w:szCs w:val="32"/>
        </w:rPr>
        <w:t>项目开展了预算事前绩效评估，</w:t>
      </w:r>
      <w:r>
        <w:rPr>
          <w:rFonts w:hint="eastAsia" w:ascii="宋体" w:hAnsi="宋体" w:eastAsia="宋体" w:cs="宋体"/>
          <w:sz w:val="32"/>
          <w:szCs w:val="32"/>
          <w:highlight w:val="none"/>
        </w:rPr>
        <w:t>对</w:t>
      </w:r>
      <w:r>
        <w:rPr>
          <w:rFonts w:hint="eastAsia" w:ascii="宋体" w:hAnsi="宋体" w:eastAsia="宋体" w:cs="宋体"/>
          <w:sz w:val="32"/>
          <w:szCs w:val="32"/>
          <w:highlight w:val="none"/>
          <w:lang w:val="en-US" w:eastAsia="zh-CN"/>
        </w:rPr>
        <w:t>18</w:t>
      </w:r>
      <w:r>
        <w:rPr>
          <w:rFonts w:hint="eastAsia" w:ascii="宋体" w:hAnsi="宋体" w:eastAsia="宋体" w:cs="宋体"/>
          <w:sz w:val="32"/>
          <w:szCs w:val="32"/>
          <w:highlight w:val="none"/>
        </w:rPr>
        <w:t>个项目编制了绩效目标，预算执行过程中，选取</w:t>
      </w:r>
      <w:r>
        <w:rPr>
          <w:rFonts w:hint="eastAsia" w:ascii="宋体" w:hAnsi="宋体" w:eastAsia="宋体" w:cs="宋体"/>
          <w:sz w:val="32"/>
          <w:szCs w:val="32"/>
          <w:highlight w:val="none"/>
          <w:lang w:val="en-US" w:eastAsia="zh-CN"/>
        </w:rPr>
        <w:t>18</w:t>
      </w:r>
      <w:r>
        <w:rPr>
          <w:rFonts w:hint="eastAsia" w:ascii="宋体" w:hAnsi="宋体" w:eastAsia="宋体" w:cs="宋体"/>
          <w:sz w:val="32"/>
          <w:szCs w:val="32"/>
          <w:highlight w:val="none"/>
        </w:rPr>
        <w:t>个项目开展绩效监控，组织对7个项目开展绩效自评，绩效自评</w:t>
      </w:r>
      <w:r>
        <w:rPr>
          <w:rFonts w:hint="eastAsia" w:ascii="宋体" w:hAnsi="宋体" w:eastAsia="宋体" w:cs="宋体"/>
          <w:sz w:val="32"/>
          <w:szCs w:val="32"/>
        </w:rPr>
        <w:t>表详见第四部分附件。</w:t>
      </w:r>
    </w:p>
    <w:p>
      <w:pPr>
        <w:widowControl/>
        <w:jc w:val="left"/>
        <w:rPr>
          <w:rFonts w:hint="eastAsia" w:ascii="宋体" w:hAnsi="宋体" w:eastAsia="宋体" w:cs="宋体"/>
          <w:b/>
          <w:sz w:val="32"/>
          <w:szCs w:val="32"/>
        </w:rPr>
      </w:pPr>
      <w:r>
        <w:rPr>
          <w:rFonts w:hint="eastAsia" w:ascii="宋体" w:hAnsi="宋体" w:eastAsia="宋体" w:cs="宋体"/>
          <w:b/>
          <w:sz w:val="32"/>
          <w:szCs w:val="32"/>
        </w:rPr>
        <w:br w:type="page"/>
      </w:r>
    </w:p>
    <w:p>
      <w:pPr>
        <w:numPr>
          <w:ilvl w:val="0"/>
          <w:numId w:val="3"/>
        </w:numPr>
        <w:spacing w:line="600" w:lineRule="exact"/>
        <w:ind w:firstLine="660" w:firstLineChars="150"/>
        <w:jc w:val="center"/>
        <w:outlineLvl w:val="0"/>
        <w:rPr>
          <w:rStyle w:val="19"/>
          <w:rFonts w:ascii="黑体" w:hAnsi="黑体" w:eastAsia="黑体"/>
          <w:b w:val="0"/>
        </w:rPr>
      </w:pPr>
      <w:bookmarkStart w:id="68" w:name="_Toc15396613"/>
      <w:bookmarkStart w:id="69" w:name="_Toc15377225"/>
      <w:bookmarkStart w:id="70" w:name="_Toc30984"/>
      <w:r>
        <w:rPr>
          <w:rFonts w:hint="eastAsia" w:ascii="黑体" w:hAnsi="黑体" w:eastAsia="黑体"/>
          <w:sz w:val="44"/>
          <w:szCs w:val="44"/>
        </w:rPr>
        <w:t>名</w:t>
      </w:r>
      <w:r>
        <w:rPr>
          <w:rStyle w:val="19"/>
          <w:rFonts w:hint="eastAsia" w:ascii="黑体" w:hAnsi="黑体" w:eastAsia="黑体"/>
          <w:b w:val="0"/>
        </w:rPr>
        <w:t>词解释</w:t>
      </w:r>
      <w:bookmarkEnd w:id="68"/>
      <w:bookmarkEnd w:id="69"/>
      <w:bookmarkEnd w:id="70"/>
    </w:p>
    <w:p>
      <w:pPr>
        <w:spacing w:line="600" w:lineRule="exact"/>
        <w:jc w:val="left"/>
        <w:rPr>
          <w:rFonts w:ascii="宋体"/>
          <w:b/>
          <w:sz w:val="44"/>
          <w:szCs w:val="44"/>
        </w:rPr>
      </w:pPr>
    </w:p>
    <w:p>
      <w:pPr>
        <w:pStyle w:val="29"/>
        <w:spacing w:line="560" w:lineRule="exact"/>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rPr>
        <w:t>1.财政拨款收入：指单位从同级财政部门取得的财政预算资金。</w:t>
      </w:r>
    </w:p>
    <w:p>
      <w:pPr>
        <w:pStyle w:val="29"/>
        <w:spacing w:line="560" w:lineRule="exact"/>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rPr>
        <w:t>2.事业收入：指事业单位开展专业业务活动及辅助活动取得的收入。</w:t>
      </w:r>
    </w:p>
    <w:p>
      <w:pPr>
        <w:pStyle w:val="29"/>
        <w:spacing w:line="560" w:lineRule="exact"/>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rPr>
        <w:t xml:space="preserve">3.使用非财政拨款结余：指事业单位使用以前年度积累的非财政拨款结余弥补当年收支差额的金额。 </w:t>
      </w:r>
    </w:p>
    <w:p>
      <w:pPr>
        <w:pStyle w:val="13"/>
        <w:shd w:val="clear" w:color="auto" w:fill="FFFFFF"/>
        <w:spacing w:before="0" w:beforeAutospacing="0" w:after="0" w:afterAutospacing="0" w:line="560" w:lineRule="atLeast"/>
        <w:ind w:firstLine="640" w:firstLineChars="200"/>
        <w:rPr>
          <w:rFonts w:hint="eastAsia" w:ascii="宋体" w:hAnsi="宋体" w:eastAsia="宋体" w:cs="宋体"/>
          <w:sz w:val="32"/>
          <w:szCs w:val="32"/>
        </w:rPr>
      </w:pPr>
      <w:r>
        <w:rPr>
          <w:rFonts w:hint="eastAsia" w:ascii="宋体" w:hAnsi="宋体" w:eastAsia="宋体" w:cs="宋体"/>
          <w:sz w:val="32"/>
          <w:szCs w:val="32"/>
        </w:rPr>
        <w:t>4.社会保障和就业支出（类）行政事业单位养老支出（款）事业单位离退休（项）：指事业单位开支的离退休经费。</w:t>
      </w:r>
    </w:p>
    <w:p>
      <w:pPr>
        <w:pStyle w:val="13"/>
        <w:shd w:val="clear" w:color="auto" w:fill="FFFFFF"/>
        <w:spacing w:before="0" w:beforeAutospacing="0" w:after="0" w:afterAutospacing="0" w:line="560" w:lineRule="atLeast"/>
        <w:ind w:firstLine="640" w:firstLineChars="200"/>
        <w:rPr>
          <w:rFonts w:hint="eastAsia" w:ascii="宋体" w:hAnsi="宋体" w:eastAsia="宋体" w:cs="宋体"/>
          <w:sz w:val="32"/>
          <w:szCs w:val="32"/>
        </w:rPr>
      </w:pPr>
      <w:r>
        <w:rPr>
          <w:rFonts w:hint="eastAsia" w:ascii="宋体" w:hAnsi="宋体" w:eastAsia="宋体" w:cs="宋体"/>
          <w:sz w:val="32"/>
          <w:szCs w:val="32"/>
        </w:rPr>
        <w:t>5.社会保障和就业支出（类）行政事业单位养老支出（款）机关事业单位基本养老保险缴费支出（项）：指机关事业单位实施养老制度由单位缴纳的基本养老保险费支出。</w:t>
      </w:r>
    </w:p>
    <w:p>
      <w:pPr>
        <w:pStyle w:val="13"/>
        <w:shd w:val="clear" w:color="auto" w:fill="FFFFFF"/>
        <w:spacing w:before="0" w:beforeAutospacing="0" w:after="0" w:afterAutospacing="0" w:line="560" w:lineRule="atLeast"/>
        <w:ind w:firstLine="640" w:firstLineChars="200"/>
        <w:rPr>
          <w:rFonts w:hint="eastAsia" w:ascii="宋体" w:hAnsi="宋体" w:eastAsia="宋体" w:cs="宋体"/>
          <w:sz w:val="32"/>
          <w:szCs w:val="32"/>
        </w:rPr>
      </w:pPr>
      <w:r>
        <w:rPr>
          <w:rFonts w:hint="eastAsia" w:ascii="宋体" w:hAnsi="宋体" w:eastAsia="宋体" w:cs="宋体"/>
          <w:sz w:val="32"/>
          <w:szCs w:val="32"/>
        </w:rPr>
        <w:t>6.社会保障和就业支出（类）行政事业单位养老支出（款）机关事业单位职业年金缴费支出（项）：指机关事业单位实施养老保险制度由单位实际缴纳的职业年金支出。</w:t>
      </w:r>
    </w:p>
    <w:p>
      <w:pPr>
        <w:pStyle w:val="13"/>
        <w:shd w:val="clear" w:color="auto" w:fill="FFFFFF"/>
        <w:spacing w:before="0" w:beforeAutospacing="0" w:after="0" w:afterAutospacing="0" w:line="560" w:lineRule="atLeast"/>
        <w:ind w:firstLine="640" w:firstLineChars="200"/>
        <w:rPr>
          <w:rFonts w:hint="eastAsia" w:ascii="宋体" w:hAnsi="宋体" w:eastAsia="宋体" w:cs="宋体"/>
          <w:sz w:val="32"/>
          <w:szCs w:val="32"/>
        </w:rPr>
      </w:pPr>
      <w:r>
        <w:rPr>
          <w:rFonts w:hint="eastAsia" w:ascii="宋体" w:hAnsi="宋体" w:eastAsia="宋体" w:cs="宋体"/>
          <w:sz w:val="32"/>
          <w:szCs w:val="32"/>
        </w:rPr>
        <w:t>7.社会保障和就业支出（类）抚恤（款）伤残抚恤（项）：指按规定用于伤残人员的抚恤金和按规定开支的各种伤残补助费。     </w:t>
      </w:r>
    </w:p>
    <w:p>
      <w:pPr>
        <w:pStyle w:val="13"/>
        <w:shd w:val="clear" w:color="auto" w:fill="FFFFFF"/>
        <w:spacing w:before="0" w:beforeAutospacing="0" w:after="0" w:afterAutospacing="0" w:line="560" w:lineRule="atLeast"/>
        <w:ind w:firstLine="640" w:firstLineChars="200"/>
        <w:rPr>
          <w:rFonts w:hint="eastAsia" w:ascii="宋体" w:hAnsi="宋体" w:eastAsia="宋体" w:cs="宋体"/>
          <w:sz w:val="32"/>
          <w:szCs w:val="32"/>
        </w:rPr>
      </w:pPr>
      <w:r>
        <w:rPr>
          <w:rFonts w:hint="eastAsia" w:ascii="宋体" w:hAnsi="宋体" w:eastAsia="宋体" w:cs="宋体"/>
          <w:sz w:val="32"/>
          <w:szCs w:val="32"/>
        </w:rPr>
        <w:t>8.社会保障和就业支出（类）抚恤（款）其他优抚支出（项）：指其他用于优抚方面的支出。</w:t>
      </w:r>
    </w:p>
    <w:p>
      <w:pPr>
        <w:pStyle w:val="13"/>
        <w:shd w:val="clear" w:color="auto" w:fill="FFFFFF"/>
        <w:spacing w:before="0" w:beforeAutospacing="0" w:after="0" w:afterAutospacing="0" w:line="560" w:lineRule="atLeast"/>
        <w:ind w:firstLine="640" w:firstLineChars="200"/>
        <w:rPr>
          <w:rFonts w:hint="eastAsia" w:ascii="宋体" w:hAnsi="宋体" w:eastAsia="宋体" w:cs="宋体"/>
          <w:sz w:val="32"/>
          <w:szCs w:val="32"/>
        </w:rPr>
      </w:pPr>
      <w:r>
        <w:rPr>
          <w:rFonts w:hint="eastAsia" w:ascii="宋体" w:hAnsi="宋体" w:eastAsia="宋体" w:cs="宋体"/>
          <w:sz w:val="32"/>
          <w:szCs w:val="32"/>
        </w:rPr>
        <w:t>9.社会保障和就业支出（类）退役军人管理事务（款）事业运行（项）：指事业单位的基本支出，不包括行政单位（包括实行公务员管理的事业单位）后勤服务中心、医疗室等附属事业单位。</w:t>
      </w:r>
    </w:p>
    <w:p>
      <w:pPr>
        <w:pStyle w:val="13"/>
        <w:shd w:val="clear" w:color="auto" w:fill="FFFFFF"/>
        <w:spacing w:before="0" w:beforeAutospacing="0" w:after="0" w:afterAutospacing="0" w:line="560" w:lineRule="atLeast"/>
        <w:ind w:firstLine="480"/>
        <w:rPr>
          <w:rFonts w:hint="eastAsia" w:ascii="宋体" w:hAnsi="宋体" w:eastAsia="宋体" w:cs="宋体"/>
          <w:sz w:val="32"/>
          <w:szCs w:val="32"/>
        </w:rPr>
      </w:pPr>
      <w:r>
        <w:rPr>
          <w:rFonts w:hint="eastAsia" w:ascii="宋体" w:hAnsi="宋体" w:eastAsia="宋体" w:cs="宋体"/>
          <w:sz w:val="32"/>
          <w:szCs w:val="32"/>
        </w:rPr>
        <w:t>10.社会保障和就业支出（类）退役军人管理事务（款）其他退役军人事务管理支出（项）：指其他用于退役军人事务管理方面的支出。</w:t>
      </w:r>
    </w:p>
    <w:p>
      <w:pPr>
        <w:pStyle w:val="13"/>
        <w:shd w:val="clear" w:color="auto" w:fill="FFFFFF"/>
        <w:spacing w:before="0" w:beforeAutospacing="0" w:after="0" w:afterAutospacing="0" w:line="560" w:lineRule="atLeast"/>
        <w:ind w:firstLine="480"/>
        <w:rPr>
          <w:rFonts w:hint="eastAsia" w:ascii="宋体" w:hAnsi="宋体" w:eastAsia="宋体" w:cs="宋体"/>
          <w:sz w:val="32"/>
          <w:szCs w:val="32"/>
        </w:rPr>
      </w:pPr>
      <w:r>
        <w:rPr>
          <w:rFonts w:hint="eastAsia" w:ascii="宋体" w:hAnsi="宋体" w:eastAsia="宋体" w:cs="宋体"/>
          <w:sz w:val="32"/>
          <w:szCs w:val="32"/>
        </w:rPr>
        <w:t>11.社会保障和就业支出（类）其他社会保障和就业支出（款）其他社会保障和就业支出（项）：指其他用于社会保障和就业方面的支出。</w:t>
      </w:r>
    </w:p>
    <w:p>
      <w:pPr>
        <w:pStyle w:val="13"/>
        <w:shd w:val="clear" w:color="auto" w:fill="FFFFFF"/>
        <w:spacing w:before="0" w:beforeAutospacing="0" w:after="0" w:afterAutospacing="0" w:line="560" w:lineRule="atLeast"/>
        <w:ind w:firstLine="480"/>
        <w:rPr>
          <w:rFonts w:hint="eastAsia" w:ascii="宋体" w:hAnsi="宋体" w:eastAsia="宋体" w:cs="宋体"/>
          <w:sz w:val="32"/>
          <w:szCs w:val="32"/>
        </w:rPr>
      </w:pPr>
      <w:r>
        <w:rPr>
          <w:rFonts w:hint="eastAsia" w:ascii="宋体" w:hAnsi="宋体" w:eastAsia="宋体" w:cs="宋体"/>
          <w:sz w:val="32"/>
          <w:szCs w:val="32"/>
        </w:rPr>
        <w:t>12.卫生健康支出（类）行政事业单位医疗（款）事业单位医疗（项）：指财政部门安排的事业单位基本医疗保险缴费经费，未参加医疗保险的事业单位的公费医疗经费，按国家规定享受离休人员待遇的医疗经费。</w:t>
      </w:r>
    </w:p>
    <w:p>
      <w:pPr>
        <w:pStyle w:val="13"/>
        <w:shd w:val="clear" w:color="auto" w:fill="FFFFFF"/>
        <w:spacing w:before="0" w:beforeAutospacing="0" w:after="0" w:afterAutospacing="0" w:line="560" w:lineRule="atLeast"/>
        <w:ind w:firstLine="480"/>
        <w:rPr>
          <w:rFonts w:hint="eastAsia" w:ascii="宋体" w:hAnsi="宋体" w:eastAsia="宋体" w:cs="宋体"/>
          <w:sz w:val="32"/>
          <w:szCs w:val="32"/>
        </w:rPr>
      </w:pPr>
      <w:r>
        <w:rPr>
          <w:rFonts w:hint="eastAsia" w:ascii="宋体" w:hAnsi="宋体" w:eastAsia="宋体" w:cs="宋体"/>
          <w:sz w:val="32"/>
          <w:szCs w:val="32"/>
        </w:rPr>
        <w:t>13.卫生健康支出（类）优抚对象医疗（款）优抚对象医疗补助（项）：指按规定补助优抚对象的医疗经费。</w:t>
      </w:r>
    </w:p>
    <w:p>
      <w:pPr>
        <w:pStyle w:val="13"/>
        <w:shd w:val="clear" w:color="auto" w:fill="FFFFFF"/>
        <w:spacing w:before="0" w:beforeAutospacing="0" w:after="0" w:afterAutospacing="0" w:line="600" w:lineRule="atLeast"/>
        <w:ind w:firstLine="480"/>
        <w:rPr>
          <w:rFonts w:hint="eastAsia" w:ascii="宋体" w:hAnsi="宋体" w:eastAsia="宋体" w:cs="宋体"/>
          <w:sz w:val="32"/>
          <w:szCs w:val="32"/>
        </w:rPr>
      </w:pPr>
      <w:r>
        <w:rPr>
          <w:rFonts w:hint="eastAsia" w:ascii="宋体" w:hAnsi="宋体" w:eastAsia="宋体" w:cs="宋体"/>
          <w:sz w:val="32"/>
          <w:szCs w:val="32"/>
        </w:rPr>
        <w:t>14.住房保障支出（类）住房改革支出（款）住房公积金（项）：指行政事业单位按人力资源和社会保障部、财政部规定的基本工资和津贴补贴以及规定比例为职工缴纳的住房公积金。</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15.基本支出：指为保障机构正常运转、完成日常工作任务而发生的人员支出和公用支出。</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 xml:space="preserve">16.项目支出：指在基本支出之外为完成特定行政任务和事业发展目标所发生的支出。 </w:t>
      </w:r>
    </w:p>
    <w:p>
      <w:pPr>
        <w:pStyle w:val="29"/>
        <w:spacing w:line="560" w:lineRule="exact"/>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rPr>
        <w:t>17.“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燃料费、维修费、过路过桥费、保险费等支出；公务接待费反映单位按规定开支的各类公务接待（含外宾接待）支出。</w:t>
      </w:r>
    </w:p>
    <w:p>
      <w:pPr>
        <w:pStyle w:val="29"/>
        <w:spacing w:line="560" w:lineRule="exact"/>
        <w:ind w:firstLine="640" w:firstLineChars="200"/>
        <w:rPr>
          <w:rFonts w:ascii="仿宋_GB2312" w:eastAsia="仿宋_GB2312" w:cs="黑体"/>
          <w:color w:val="auto"/>
          <w:sz w:val="32"/>
          <w:szCs w:val="32"/>
        </w:rPr>
      </w:pPr>
    </w:p>
    <w:p>
      <w:pPr>
        <w:spacing w:line="600" w:lineRule="exact"/>
        <w:jc w:val="center"/>
        <w:outlineLvl w:val="0"/>
        <w:rPr>
          <w:rStyle w:val="19"/>
          <w:rFonts w:ascii="黑体" w:hAnsi="黑体" w:eastAsia="黑体"/>
          <w:b w:val="0"/>
        </w:rPr>
      </w:pPr>
      <w:bookmarkStart w:id="71" w:name="_Toc15377226"/>
      <w:r>
        <w:rPr>
          <w:rFonts w:ascii="宋体"/>
          <w:b/>
          <w:sz w:val="44"/>
          <w:szCs w:val="44"/>
        </w:rPr>
        <w:br w:type="page"/>
      </w:r>
      <w:bookmarkStart w:id="72" w:name="_Toc23065"/>
      <w:bookmarkStart w:id="73" w:name="_Toc15396614"/>
      <w:r>
        <w:rPr>
          <w:rFonts w:hint="eastAsia" w:ascii="黑体" w:hAnsi="黑体" w:eastAsia="黑体"/>
          <w:sz w:val="44"/>
          <w:szCs w:val="44"/>
        </w:rPr>
        <w:t>第</w:t>
      </w:r>
      <w:r>
        <w:rPr>
          <w:rStyle w:val="19"/>
          <w:rFonts w:hint="eastAsia" w:ascii="黑体" w:hAnsi="黑体" w:eastAsia="黑体"/>
          <w:b w:val="0"/>
        </w:rPr>
        <w:t>四部分 附件</w:t>
      </w:r>
      <w:bookmarkEnd w:id="72"/>
      <w:bookmarkEnd w:id="73"/>
    </w:p>
    <w:tbl>
      <w:tblPr>
        <w:tblStyle w:val="1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0"/>
        <w:gridCol w:w="961"/>
        <w:gridCol w:w="648"/>
        <w:gridCol w:w="942"/>
        <w:gridCol w:w="465"/>
        <w:gridCol w:w="603"/>
        <w:gridCol w:w="423"/>
        <w:gridCol w:w="1034"/>
        <w:gridCol w:w="538"/>
        <w:gridCol w:w="721"/>
        <w:gridCol w:w="14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8429" w:type="dxa"/>
            <w:gridSpan w:val="11"/>
            <w:tcBorders>
              <w:top w:val="nil"/>
              <w:left w:val="nil"/>
              <w:bottom w:val="nil"/>
              <w:right w:val="nil"/>
            </w:tcBorders>
            <w:noWrap w:val="0"/>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1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81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51000021T000000102424-重点优抚对象疗养经费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1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08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四川省退役军人事务厅部门</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实施单位 （盖章）</w:t>
            </w:r>
          </w:p>
        </w:tc>
        <w:tc>
          <w:tcPr>
            <w:tcW w:w="270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四川省第三退役军人医院（四川省退役军人养护院）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61"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081" w:type="dxa"/>
            <w:gridSpan w:val="5"/>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37" w:type="dxa"/>
            <w:gridSpan w:val="4"/>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650"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961"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308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为了弘扬正能量，体现重点优抚对象疗养活动的褒扬性，有效提高全省重点优抚对象服务保障水平，支持国防和军队建设、促进社会和谐稳定，在全社会积极营造拥军、爱军氛围，根据《军人抚恤优待条例》、《民政部关于建立重点优抚对象疗养制度的意见》（民发〔2014〕52号）等文件精神，结合我院实际，根据年度重点工作任务，计划疗养人数240人，分3批次，每批约80人，每期10天。</w:t>
            </w:r>
          </w:p>
        </w:tc>
        <w:tc>
          <w:tcPr>
            <w:tcW w:w="373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弘扬正能量，体现重点优抚对象疗养活动的褒扬性，有效提高全省重点优抚对象服务保障水平，支持国防和军队建设、促进社会和谐稳定，在全社会积极营造拥军、爱军氛围，根据《军人抚恤优待条例》、《民政部关于建立重点优抚对象疗养制度的意见》（民发〔2014〕52号）等文件精神，结合我院实际，完成231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50"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81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四期完成，每批60人，每期10天，为提升退役军人的幸福感、获得感、荣誉感，让他们感受到党和国家的关怀和温暖，活动采取政治学习与养生休闲、室内讲座与户外参观相结合的方式进行，安排全面体检、健康知识讲座、棋牌娱乐活动、观看红色影片、合影、安全知识培训、签订疗养协议和须知、制作电子相册、标准照采集、党课学习、个人信息采集、康复理疗功能训练、医生大查房和外出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9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w:t>
            </w:r>
          </w:p>
        </w:tc>
        <w:tc>
          <w:tcPr>
            <w:tcW w:w="149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444" w:type="dxa"/>
            <w:vMerge w:val="restar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w:t>
            </w:r>
          </w:p>
        </w:tc>
        <w:tc>
          <w:tcPr>
            <w:tcW w:w="149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4"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9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4"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9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4"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91"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4"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4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安全知识培训</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签订疗养协议和须知</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份</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231</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主要原因是：4名疗养对象因生病、5名疗养对象因疫情影响，导致未能到院疗养。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制作电子相册</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份</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231</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主要原因是：4名疗养对象因生病、5名疗养对象因疫情影响，导致未能到院疗养。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外出活动</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标准照采集</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份</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231</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主要原因是：4名疗养对象因生病、5名疗养对象因疫情影响，导致未能到院疗养。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疗养人数</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231</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主要原因是：4名疗养对象因生病、5名疗养对象因疫情影响，导致未能到院疗养。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党课学习</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个人信息采集</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231</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主要原因是：4名疗养对象因生病、5名疗养对象因疫情影响，导致未能到院疗养。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康复理疗功能训练</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4000</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主要原因是增加了外出活动次数，减少了在院休养时间。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健康体检</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231</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主要原因是：4名疗养对象因生病、5名疗养对象因疫情影响，导致未能到院疗养。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健康讲座</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医生查房</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组织观影</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疗养期次</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优抚群体社会荣誉感、获得感、幸福感</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优抚对象满意度</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26"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97.56</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779"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自评总分97.56分。完成了231名重点优抚对象的短期疗养工作，让优抚对象从心灵上得到抚慰，生理上得到康复。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779"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资金不足、缺乏品牌和规模效应。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779"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加强政策宣讲，创新服务方式，细化疗养方案。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666"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项目负责人：</w:t>
            </w:r>
          </w:p>
        </w:tc>
        <w:tc>
          <w:tcPr>
            <w:tcW w:w="476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财务负责人：</w:t>
            </w:r>
          </w:p>
        </w:tc>
      </w:tr>
    </w:tbl>
    <w:p>
      <w:pPr>
        <w:spacing w:line="572" w:lineRule="exact"/>
        <w:jc w:val="left"/>
        <w:outlineLvl w:val="9"/>
        <w:rPr>
          <w:rFonts w:ascii="仿宋_GB2312" w:hAnsi="仿宋_GB2312" w:eastAsia="仿宋_GB2312" w:cs="仿宋_GB2312"/>
          <w:sz w:val="32"/>
          <w:szCs w:val="32"/>
        </w:rPr>
      </w:pPr>
    </w:p>
    <w:p>
      <w:pPr>
        <w:pStyle w:val="2"/>
        <w:spacing w:before="93"/>
        <w:rPr>
          <w:rFonts w:hint="eastAsia" w:hAnsi="Calibri" w:cs="仿宋"/>
          <w:sz w:val="32"/>
          <w:szCs w:val="32"/>
        </w:rPr>
      </w:pPr>
      <w:bookmarkStart w:id="74" w:name="_Toc15396618"/>
    </w:p>
    <w:tbl>
      <w:tblPr>
        <w:tblStyle w:val="1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9"/>
        <w:gridCol w:w="982"/>
        <w:gridCol w:w="711"/>
        <w:gridCol w:w="883"/>
        <w:gridCol w:w="489"/>
        <w:gridCol w:w="466"/>
        <w:gridCol w:w="448"/>
        <w:gridCol w:w="933"/>
        <w:gridCol w:w="495"/>
        <w:gridCol w:w="666"/>
        <w:gridCol w:w="16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8429" w:type="dxa"/>
            <w:gridSpan w:val="11"/>
            <w:tcBorders>
              <w:top w:val="nil"/>
              <w:left w:val="nil"/>
              <w:bottom w:val="nil"/>
              <w:right w:val="nil"/>
            </w:tcBorders>
            <w:noWrap w:val="0"/>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72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51000022T000000377812-优抚安置事业单位维修改造和设备购置（休养楼）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99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四川省退役军人事务厅部门</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实施单位 （盖章）</w:t>
            </w:r>
          </w:p>
        </w:tc>
        <w:tc>
          <w:tcPr>
            <w:tcW w:w="279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四川省第三退役军人医院（四川省退役军人养护院）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82"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997" w:type="dxa"/>
            <w:gridSpan w:val="5"/>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31" w:type="dxa"/>
            <w:gridSpan w:val="4"/>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719"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982"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299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根据《优抚安置事业单位补助经费使用管理办法》的规定，按照省厅要求，结合我院实际及年度重点工作任务，通过对荣军休养楼进行维修改造，改善伤残军人住宿环境，生活环境，提升伤残军人幸福指数。</w:t>
            </w:r>
          </w:p>
        </w:tc>
        <w:tc>
          <w:tcPr>
            <w:tcW w:w="373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按要求完成了本项目家具、家电的购置。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19"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72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通过委托招投标代理机构对本项目公开挂网招标，专家评分产生供应商，再与中标供应商签订合同。双方约定荣军休养楼建设项目竣工后，家具、家电进场安装。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0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754.24</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90.29</w:t>
            </w:r>
          </w:p>
        </w:tc>
        <w:tc>
          <w:tcPr>
            <w:tcW w:w="140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36.54</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40.47%</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4.05</w:t>
            </w:r>
          </w:p>
        </w:tc>
        <w:tc>
          <w:tcPr>
            <w:tcW w:w="16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由于荣军楼经鉴定为C级危房，存在安全隐患，无法再维修加固，因此该项目停止。但荣军休养楼另外新建，所以家具、家电的购置没有取消。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700.00</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36.05</w:t>
            </w:r>
          </w:p>
        </w:tc>
        <w:tc>
          <w:tcPr>
            <w:tcW w:w="140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36.05</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3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0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3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54.24</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54.24</w:t>
            </w:r>
          </w:p>
        </w:tc>
        <w:tc>
          <w:tcPr>
            <w:tcW w:w="140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0.49</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0.91%</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3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3"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3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1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购置洗衣机</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购置沙发</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购置电视机</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购置电冰箱</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购置次卧床</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张</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购置茶几</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张</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购置主卧床</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张</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购置4人餐桌+椅子</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休养楼维修改造面积</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优抚对象荣誉感、获得感、幸福感</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优抚对象满意度</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631"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5" w:type="dxa"/>
            <w:tcBorders>
              <w:top w:val="nil"/>
              <w:left w:val="nil"/>
              <w:bottom w:val="nil"/>
              <w:right w:val="nil"/>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94.05</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710"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自评得分94.05分，2022年圆满完成了荣军休养楼建设项目有关家具、家电采购，确保项目实施完成的后续保障工作。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710"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荣军休养楼建设项目还未竣工，相关家具、家电暂未安装。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710"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待休养楼建设项目竣工后立即进场安装。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78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项目负责人：</w:t>
            </w:r>
          </w:p>
        </w:tc>
        <w:tc>
          <w:tcPr>
            <w:tcW w:w="464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财务负责人：</w:t>
            </w:r>
          </w:p>
        </w:tc>
      </w:tr>
    </w:tbl>
    <w:p>
      <w:pPr>
        <w:pStyle w:val="2"/>
        <w:spacing w:before="93"/>
        <w:rPr>
          <w:rFonts w:hint="eastAsia" w:hAnsi="Calibri" w:cs="仿宋"/>
          <w:sz w:val="32"/>
          <w:szCs w:val="32"/>
        </w:rPr>
      </w:pPr>
    </w:p>
    <w:p>
      <w:pPr>
        <w:pStyle w:val="2"/>
        <w:spacing w:before="93"/>
        <w:rPr>
          <w:rFonts w:hint="eastAsia" w:hAnsi="Calibri" w:cs="仿宋"/>
          <w:sz w:val="32"/>
          <w:szCs w:val="32"/>
        </w:rPr>
      </w:pPr>
    </w:p>
    <w:p>
      <w:pPr>
        <w:pStyle w:val="2"/>
        <w:spacing w:before="93"/>
        <w:rPr>
          <w:rFonts w:hint="eastAsia" w:hAnsi="Calibri" w:cs="仿宋"/>
          <w:sz w:val="32"/>
          <w:szCs w:val="32"/>
        </w:rPr>
      </w:pPr>
    </w:p>
    <w:p>
      <w:pPr>
        <w:pStyle w:val="2"/>
        <w:spacing w:before="93"/>
        <w:rPr>
          <w:rFonts w:hint="eastAsia" w:hAnsi="Calibri" w:cs="仿宋"/>
          <w:sz w:val="32"/>
          <w:szCs w:val="32"/>
        </w:rPr>
      </w:pPr>
    </w:p>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6"/>
        <w:gridCol w:w="983"/>
        <w:gridCol w:w="863"/>
        <w:gridCol w:w="1247"/>
        <w:gridCol w:w="494"/>
        <w:gridCol w:w="601"/>
        <w:gridCol w:w="494"/>
        <w:gridCol w:w="936"/>
        <w:gridCol w:w="565"/>
        <w:gridCol w:w="739"/>
        <w:gridCol w:w="7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8522" w:type="dxa"/>
            <w:gridSpan w:val="11"/>
            <w:tcBorders>
              <w:top w:val="nil"/>
              <w:left w:val="nil"/>
              <w:bottom w:val="nil"/>
              <w:right w:val="nil"/>
            </w:tcBorders>
            <w:noWrap w:val="0"/>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82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693"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51000022T000000392218-中央优抚对象抚恤补助经费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2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9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四川省退役军人事务厅部门</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实施单位 （盖章）</w:t>
            </w:r>
          </w:p>
        </w:tc>
        <w:tc>
          <w:tcPr>
            <w:tcW w:w="205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四川省第三退役军人医院（四川省退役军人养护院）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6"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83"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99" w:type="dxa"/>
            <w:gridSpan w:val="5"/>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94" w:type="dxa"/>
            <w:gridSpan w:val="4"/>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846"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983"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369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根据《军人抚恤优待条例》、《伤残抚恤管理办法》以及《四川省退役军人事务厅 四川省财政厅关于调整部分优抚对象等人员抚恤和生活补助标准的通知》（川退役军人发﹝2021﹞94号），通过发放优抚对象抚恤补助资金，使优抚对象等人员的基本生活得到有效保障。</w:t>
            </w:r>
          </w:p>
        </w:tc>
        <w:tc>
          <w:tcPr>
            <w:tcW w:w="2994"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完成了36名伤残军人的抚恤金发放。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46"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693"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每月10日完成36名伤残军人的生活补助发放。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58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317.00</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297.23</w:t>
            </w:r>
          </w:p>
        </w:tc>
        <w:tc>
          <w:tcPr>
            <w:tcW w:w="158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296.67</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99.81%</w:t>
            </w: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w:t>
            </w:r>
          </w:p>
        </w:tc>
        <w:tc>
          <w:tcPr>
            <w:tcW w:w="754" w:type="dxa"/>
            <w:vMerge w:val="restar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宋体" w:hAnsi="宋体" w:eastAsia="宋体" w:cs="宋体"/>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317.00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297.23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296.67</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99.81%</w:t>
            </w: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54"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54"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54"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54"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优抚对象抚恤补助资金发放人数</w:t>
            </w:r>
          </w:p>
        </w:tc>
        <w:tc>
          <w:tcPr>
            <w:tcW w:w="4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w:t>
            </w:r>
          </w:p>
        </w:tc>
        <w:tc>
          <w:tcPr>
            <w:tcW w:w="4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w:t>
            </w: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经费足额拨付率</w:t>
            </w:r>
          </w:p>
        </w:tc>
        <w:tc>
          <w:tcPr>
            <w:tcW w:w="4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各类优抚对象抚恤补助标准按规定执行率</w:t>
            </w:r>
          </w:p>
        </w:tc>
        <w:tc>
          <w:tcPr>
            <w:tcW w:w="4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优抚对象抚恤补助资金及时拨付率</w:t>
            </w:r>
          </w:p>
        </w:tc>
        <w:tc>
          <w:tcPr>
            <w:tcW w:w="4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优抚对象生活情况</w:t>
            </w:r>
          </w:p>
        </w:tc>
        <w:tc>
          <w:tcPr>
            <w:tcW w:w="4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6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49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优抚对象满意度</w:t>
            </w:r>
          </w:p>
        </w:tc>
        <w:tc>
          <w:tcPr>
            <w:tcW w:w="4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64"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99.98</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676"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自评得分99.98分。按月按时发放了36名伤残军人的抚恤金。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676"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676"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项目负责人：</w:t>
            </w:r>
          </w:p>
        </w:tc>
        <w:tc>
          <w:tcPr>
            <w:tcW w:w="408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财务负责人：</w:t>
            </w:r>
          </w:p>
        </w:tc>
      </w:tr>
    </w:tbl>
    <w:p>
      <w:pPr>
        <w:pStyle w:val="2"/>
        <w:spacing w:before="93"/>
        <w:rPr>
          <w:rFonts w:hint="eastAsia" w:hAnsi="Calibri" w:cs="仿宋"/>
          <w:sz w:val="32"/>
          <w:szCs w:val="32"/>
        </w:rPr>
      </w:pPr>
    </w:p>
    <w:p>
      <w:pPr>
        <w:pStyle w:val="2"/>
        <w:spacing w:before="93"/>
        <w:rPr>
          <w:rFonts w:hAnsi="Calibri" w:cs="仿宋"/>
          <w:sz w:val="32"/>
          <w:szCs w:val="32"/>
        </w:rPr>
      </w:pPr>
    </w:p>
    <w:tbl>
      <w:tblPr>
        <w:tblStyle w:val="1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3"/>
        <w:gridCol w:w="1068"/>
        <w:gridCol w:w="741"/>
        <w:gridCol w:w="1083"/>
        <w:gridCol w:w="562"/>
        <w:gridCol w:w="574"/>
        <w:gridCol w:w="471"/>
        <w:gridCol w:w="972"/>
        <w:gridCol w:w="499"/>
        <w:gridCol w:w="421"/>
        <w:gridCol w:w="12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8429" w:type="dxa"/>
            <w:gridSpan w:val="11"/>
            <w:tcBorders>
              <w:top w:val="nil"/>
              <w:left w:val="nil"/>
              <w:bottom w:val="nil"/>
              <w:right w:val="nil"/>
            </w:tcBorders>
            <w:noWrap w:val="0"/>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57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51000022T000000392229-优抚对象医疗补助经费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43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四川省退役军人事务厅部门</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实施单位 （盖章）</w:t>
            </w:r>
          </w:p>
        </w:tc>
        <w:tc>
          <w:tcPr>
            <w:tcW w:w="217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四川省第三退役军人医院（四川省退役军人养护院）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3"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68"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431" w:type="dxa"/>
            <w:gridSpan w:val="5"/>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147" w:type="dxa"/>
            <w:gridSpan w:val="4"/>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83"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1068"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343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根据《军人抚恤优待条例》中"国家对一级至六级伤残军人的医疗费用按照规定予以保障"的规定，通过发放优抚对象医疗补助资金，对优抚对象住院和门诊费用进行补助，有效帮助解决优抚对象医疗难问题。</w:t>
            </w:r>
          </w:p>
        </w:tc>
        <w:tc>
          <w:tcPr>
            <w:tcW w:w="314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完成了我院1-4级伤残军人门诊、住院医疗。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83"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57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对我院1-4级伤残军人门诊、住院医疗费进行及时补助发放。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8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0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300.00</w:t>
            </w:r>
          </w:p>
        </w:tc>
        <w:tc>
          <w:tcPr>
            <w:tcW w:w="160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300.00</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5" w:type="dxa"/>
            <w:vMerge w:val="restar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300.00</w:t>
            </w:r>
          </w:p>
        </w:tc>
        <w:tc>
          <w:tcPr>
            <w:tcW w:w="160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300.00</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5"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5"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5"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6"/>
                <w:szCs w:val="16"/>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6"/>
                <w:szCs w:val="16"/>
                <w:u w:val="none"/>
              </w:rPr>
            </w:pPr>
          </w:p>
        </w:tc>
        <w:tc>
          <w:tcPr>
            <w:tcW w:w="1607"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6"/>
                <w:szCs w:val="16"/>
                <w:u w:val="none"/>
              </w:rPr>
            </w:pPr>
          </w:p>
        </w:tc>
        <w:tc>
          <w:tcPr>
            <w:tcW w:w="97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6"/>
                <w:szCs w:val="16"/>
                <w:u w:val="none"/>
              </w:rPr>
            </w:pPr>
          </w:p>
        </w:tc>
        <w:tc>
          <w:tcPr>
            <w:tcW w:w="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5"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6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享受医疗待遇优抚对象人数</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32</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年初预算编制不准确，将分散代供不享受待遇人数编入数量指标。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6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4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优抚对象医疗补助标准按规定执行率</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6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经费足额拨付率</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6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优抚对象医疗保障经费及时拨付率</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优抚对象医疗难问题改善情况</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优</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优抚对象满意度</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98</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54"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646"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自评得分98分。完成了我院1-4级伤残军人门诊、住院医疗。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646"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1.年初预算编制不准确，将分散代供不享受待遇人数编入数量指标。2.优抚对象对医疗补助政策不太了解。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646"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1.在2023年年初编制预算时，已正确编制数量指标。2.加强了对医疗补助政策的宣传，以确保每位优抚对象都知道了解政策。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项目负责人：</w:t>
            </w:r>
          </w:p>
        </w:tc>
        <w:tc>
          <w:tcPr>
            <w:tcW w:w="419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财务负责人：</w:t>
            </w:r>
          </w:p>
        </w:tc>
      </w:tr>
    </w:tbl>
    <w:p>
      <w:pPr>
        <w:pStyle w:val="2"/>
        <w:spacing w:before="93"/>
        <w:rPr>
          <w:rFonts w:hAnsi="Calibri" w:cs="仿宋"/>
          <w:sz w:val="32"/>
          <w:szCs w:val="32"/>
        </w:rPr>
      </w:pPr>
    </w:p>
    <w:tbl>
      <w:tblPr>
        <w:tblStyle w:val="1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5"/>
        <w:gridCol w:w="1241"/>
        <w:gridCol w:w="690"/>
        <w:gridCol w:w="1036"/>
        <w:gridCol w:w="501"/>
        <w:gridCol w:w="596"/>
        <w:gridCol w:w="490"/>
        <w:gridCol w:w="1003"/>
        <w:gridCol w:w="562"/>
        <w:gridCol w:w="736"/>
        <w:gridCol w:w="7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8429" w:type="dxa"/>
            <w:gridSpan w:val="11"/>
            <w:tcBorders>
              <w:top w:val="nil"/>
              <w:left w:val="nil"/>
              <w:bottom w:val="nil"/>
              <w:right w:val="nil"/>
            </w:tcBorders>
            <w:noWrap w:val="0"/>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7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353"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51000022T000000392246-休养员生活补助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07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31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四川省退役军人事务厅部门</w:t>
            </w: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实施单位 （盖章）</w:t>
            </w:r>
          </w:p>
        </w:tc>
        <w:tc>
          <w:tcPr>
            <w:tcW w:w="20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四川省第三退役军人医院（四川省退役军人养护院）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35"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41"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313" w:type="dxa"/>
            <w:gridSpan w:val="5"/>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040" w:type="dxa"/>
            <w:gridSpan w:val="4"/>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835"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1241"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331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根据《四川省退役军人事务厅 四川省财政厅关于调整伤残军人休养院在院休养员生活补助标准的通知》（川退役军人发﹝2020﹞91号）、《四川省民政厅 四川省财政厅关于规范在院休养员生活补贴发放的通知》（川民发﹝2010﹞85号），为全院31名伤残军人发放生活补助，切实保障伤残军人待遇，体现党和政府对优抚对象的关心关爱。</w:t>
            </w:r>
          </w:p>
        </w:tc>
        <w:tc>
          <w:tcPr>
            <w:tcW w:w="304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完成了在院31名伤残军人的生活补助发放。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35"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353"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每月10日完成在院31名伤残军人的生活补助发放。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58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102.88</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102.88</w:t>
            </w:r>
          </w:p>
        </w:tc>
        <w:tc>
          <w:tcPr>
            <w:tcW w:w="158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98.28</w:t>
            </w: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95.53%</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9.55</w:t>
            </w:r>
          </w:p>
        </w:tc>
        <w:tc>
          <w:tcPr>
            <w:tcW w:w="739" w:type="dxa"/>
            <w:vMerge w:val="restart"/>
            <w:tcBorders>
              <w:top w:val="single" w:color="000000" w:sz="4" w:space="0"/>
              <w:left w:val="single" w:color="000000" w:sz="4" w:space="0"/>
              <w:bottom w:val="single" w:color="000000" w:sz="4" w:space="0"/>
              <w:right w:val="single" w:color="000000" w:sz="4" w:space="0"/>
            </w:tcBorders>
            <w:noWrap w:val="0"/>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89.21</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89.21</w:t>
            </w:r>
          </w:p>
        </w:tc>
        <w:tc>
          <w:tcPr>
            <w:tcW w:w="158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89.21</w:t>
            </w: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9"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9"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13.67</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13.67</w:t>
            </w:r>
          </w:p>
        </w:tc>
        <w:tc>
          <w:tcPr>
            <w:tcW w:w="158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9.07</w:t>
            </w: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66.37%</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9"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c>
          <w:tcPr>
            <w:tcW w:w="1587"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9"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4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发放伤残军人生活补助人数</w:t>
            </w:r>
          </w:p>
        </w:tc>
        <w:tc>
          <w:tcPr>
            <w:tcW w:w="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4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休养员生活补助标准按规定执行率</w:t>
            </w:r>
          </w:p>
        </w:tc>
        <w:tc>
          <w:tcPr>
            <w:tcW w:w="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4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经费足额拨付率</w:t>
            </w:r>
          </w:p>
        </w:tc>
        <w:tc>
          <w:tcPr>
            <w:tcW w:w="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4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休养员生活补助资金及时拨付率</w:t>
            </w:r>
          </w:p>
        </w:tc>
        <w:tc>
          <w:tcPr>
            <w:tcW w:w="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优抚对象生活情况</w:t>
            </w:r>
          </w:p>
        </w:tc>
        <w:tc>
          <w:tcPr>
            <w:tcW w:w="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优抚对象满意度</w:t>
            </w:r>
          </w:p>
        </w:tc>
        <w:tc>
          <w:tcPr>
            <w:tcW w:w="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92"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99.55</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594"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自评得分99.55分。按月按时发放了31名在院伤残军人生活补助。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594"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594"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0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项目负责人：</w:t>
            </w:r>
          </w:p>
        </w:tc>
        <w:tc>
          <w:tcPr>
            <w:tcW w:w="412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财务负责人：</w:t>
            </w:r>
          </w:p>
        </w:tc>
      </w:tr>
    </w:tbl>
    <w:p>
      <w:pPr>
        <w:pStyle w:val="2"/>
        <w:spacing w:before="93"/>
        <w:rPr>
          <w:rFonts w:hAnsi="Calibri" w:cs="仿宋"/>
          <w:sz w:val="32"/>
          <w:szCs w:val="32"/>
        </w:rPr>
      </w:pPr>
    </w:p>
    <w:tbl>
      <w:tblPr>
        <w:tblStyle w:val="1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0"/>
        <w:gridCol w:w="1001"/>
        <w:gridCol w:w="733"/>
        <w:gridCol w:w="887"/>
        <w:gridCol w:w="471"/>
        <w:gridCol w:w="713"/>
        <w:gridCol w:w="452"/>
        <w:gridCol w:w="1233"/>
        <w:gridCol w:w="651"/>
        <w:gridCol w:w="651"/>
        <w:gridCol w:w="9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8429" w:type="dxa"/>
            <w:gridSpan w:val="11"/>
            <w:tcBorders>
              <w:top w:val="nil"/>
              <w:left w:val="nil"/>
              <w:bottom w:val="nil"/>
              <w:right w:val="nil"/>
            </w:tcBorders>
            <w:noWrap w:val="0"/>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3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69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51000022T000004998889-上年结转-优抚安置事业单位维修改造和设备购置（疗养楼）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73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256"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四川省退役军人事务厅部门</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实施单位 （盖章）</w:t>
            </w:r>
          </w:p>
        </w:tc>
        <w:tc>
          <w:tcPr>
            <w:tcW w:w="220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四川省第三退役军人医院（四川省退役军人养护院）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0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256"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44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30"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1001"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3256"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优抚安置事业单位补助经费使用管理办法》的规定，按照省厅要求，结合我院实际，完成疗养楼2-6楼综合改造，通过维修改造，改善疗养对象的生活环境，提高疗养人员满意度，增强疗养人员荣誉感和自豪感。</w:t>
            </w:r>
          </w:p>
        </w:tc>
        <w:tc>
          <w:tcPr>
            <w:tcW w:w="344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完成了疗养楼12234.94平方米的维修改造，改善了疗养对象的生活环境，提高疗养人员满意度，增强疗养人员荣誉感和自豪感。顺利完成了4期优抚对象疗养工作。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0"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69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改造内容：房屋主材和水电改造。对房屋内部进行重新基础装修，包括基础墙面及地砖、地板铺设，卫生间做防水铺设；安装灯具、洁具， 窗帘、空调、电视、中央空调(过道)、新风系统、水电五金件、局部软装、座椅、柜子、布草、窗铺设。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01"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33"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87"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36" w:type="dxa"/>
            <w:gridSpan w:val="3"/>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33"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51"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51"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0" w:type="dxa"/>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163.69</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163.69</w:t>
            </w:r>
          </w:p>
        </w:tc>
        <w:tc>
          <w:tcPr>
            <w:tcW w:w="163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163.69</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0" w:type="dxa"/>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163.69</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163.69</w:t>
            </w:r>
          </w:p>
        </w:tc>
        <w:tc>
          <w:tcPr>
            <w:tcW w:w="163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163.69</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0" w:type="dxa"/>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0" w:type="dxa"/>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c>
          <w:tcPr>
            <w:tcW w:w="1636"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疗养楼2-6楼综合改造</w:t>
            </w: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w:t>
            </w:r>
          </w:p>
        </w:tc>
        <w:tc>
          <w:tcPr>
            <w:tcW w:w="4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12234.94</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疗养楼2-6楼综合改造</w:t>
            </w: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4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3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休养环境</w:t>
            </w: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4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3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疗养环境</w:t>
            </w: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4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98.00%</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20"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699"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自评得分100分。完成了疗养楼12234.94平方米的维修改造，改善了疗养对象的生活环境，提高疗养人员满意度，增强疗养人员荣誉感和自豪感。顺利完成了4期优抚对象疗养工作。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699"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部分设施、设备维护不及时。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699"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与施工单位协调进行及时维修。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22"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项目负责人：</w:t>
            </w:r>
          </w:p>
        </w:tc>
        <w:tc>
          <w:tcPr>
            <w:tcW w:w="4607"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财务负责人：</w:t>
            </w:r>
          </w:p>
        </w:tc>
      </w:tr>
    </w:tbl>
    <w:p>
      <w:pPr>
        <w:pStyle w:val="2"/>
        <w:spacing w:before="93"/>
        <w:rPr>
          <w:rFonts w:hAnsi="Calibri" w:cs="仿宋"/>
          <w:sz w:val="32"/>
          <w:szCs w:val="32"/>
        </w:rPr>
      </w:pPr>
    </w:p>
    <w:tbl>
      <w:tblPr>
        <w:tblStyle w:val="1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3"/>
        <w:gridCol w:w="993"/>
        <w:gridCol w:w="724"/>
        <w:gridCol w:w="800"/>
        <w:gridCol w:w="477"/>
        <w:gridCol w:w="711"/>
        <w:gridCol w:w="449"/>
        <w:gridCol w:w="1219"/>
        <w:gridCol w:w="637"/>
        <w:gridCol w:w="830"/>
        <w:gridCol w:w="8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8429" w:type="dxa"/>
            <w:gridSpan w:val="11"/>
            <w:tcBorders>
              <w:top w:val="nil"/>
              <w:left w:val="nil"/>
              <w:bottom w:val="nil"/>
              <w:right w:val="nil"/>
            </w:tcBorders>
            <w:noWrap w:val="0"/>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1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713"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51000022T000005025092-上年结转-优抚安置事业单位维修改造和设备购置（自有资金）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71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16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四川省退役军人事务厅部门</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实施单位 （盖章）</w:t>
            </w:r>
          </w:p>
        </w:tc>
        <w:tc>
          <w:tcPr>
            <w:tcW w:w="233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四川省第三退役军人医院（四川省退役军人养护院）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3"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93"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161" w:type="dxa"/>
            <w:gridSpan w:val="5"/>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552" w:type="dxa"/>
            <w:gridSpan w:val="4"/>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23"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993"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316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优抚安置事业单位补助经费使用管理办法》的规定，按照省厅要求，结合我院实际，完成疗养楼2-6楼综合改造，通过维修改造，改善疗养对象的生活环境，提高疗养人员满意度，增强疗养人员的荣誉感和自豪感。</w:t>
            </w:r>
          </w:p>
        </w:tc>
        <w:tc>
          <w:tcPr>
            <w:tcW w:w="355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完成了疗养楼12234.94平方米的维修改造，改善了疗养对象的生活环境，提高疗养人员满意度，增强疗养人员荣誉感和自豪感。顺利完成了4期优抚对象疗养工作。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23" w:type="dxa"/>
            <w:vMerge w:val="continue"/>
            <w:tcBorders>
              <w:top w:val="nil"/>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713"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改造内容：房屋主材和水电改造。对房屋内部进行重新基础装修，包括基础墙面及地砖、地板铺设，卫生间做防水铺设；安装灯具、洁具， 窗帘、空调、电视、中央空调(过道)、新风系统、水电五金件、局部软装、座椅、柜子、布草、窗铺设。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44.95</w:t>
            </w:r>
          </w:p>
        </w:tc>
        <w:tc>
          <w:tcPr>
            <w:tcW w:w="1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44.60</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99.21%</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9.92</w:t>
            </w:r>
          </w:p>
        </w:tc>
        <w:tc>
          <w:tcPr>
            <w:tcW w:w="866" w:type="dxa"/>
            <w:vMerge w:val="restart"/>
            <w:tcBorders>
              <w:top w:val="single" w:color="000000" w:sz="4" w:space="0"/>
              <w:left w:val="single" w:color="000000" w:sz="4" w:space="0"/>
              <w:bottom w:val="single" w:color="000000" w:sz="4" w:space="0"/>
              <w:right w:val="single" w:color="000000" w:sz="4" w:space="0"/>
            </w:tcBorders>
            <w:noWrap w:val="0"/>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6"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6"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44.95</w:t>
            </w:r>
          </w:p>
        </w:tc>
        <w:tc>
          <w:tcPr>
            <w:tcW w:w="1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44.60</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99.21%</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6"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c>
          <w:tcPr>
            <w:tcW w:w="1637"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6"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疗养楼2-6楼综合改造</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w:t>
            </w:r>
          </w:p>
        </w:tc>
        <w:tc>
          <w:tcPr>
            <w:tcW w:w="4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12234.94</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疗养楼2-6楼综合改造</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4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疗养环境</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4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休养环境</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4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98.00%</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96"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99.92</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706"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自评得分99.92分。完成了疗养楼12234.94平方米的维修改造，改善了疗养对象的生活环境，提高疗养人员满意度，增强疗养人员荣誉感和自豪感。顺利完成了4期优抚对象疗养工作。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706"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部分设施、设备维护不及时。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706"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与施工单位协调进行及时维修。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71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项目负责人：</w:t>
            </w:r>
          </w:p>
        </w:tc>
        <w:tc>
          <w:tcPr>
            <w:tcW w:w="471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财务负责人：</w:t>
            </w:r>
          </w:p>
        </w:tc>
      </w:tr>
    </w:tbl>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spacing w:line="600" w:lineRule="exact"/>
        <w:ind w:firstLine="1320" w:firstLineChars="300"/>
        <w:jc w:val="center"/>
        <w:outlineLvl w:val="0"/>
        <w:rPr>
          <w:rFonts w:ascii="仿宋" w:hAnsi="仿宋" w:eastAsia="仿宋"/>
        </w:rPr>
      </w:pPr>
      <w:bookmarkStart w:id="75" w:name="_Toc9606"/>
      <w:r>
        <w:rPr>
          <w:rFonts w:hint="eastAsia" w:ascii="黑体" w:hAnsi="黑体" w:eastAsia="黑体"/>
          <w:sz w:val="44"/>
          <w:szCs w:val="44"/>
        </w:rPr>
        <w:t>第</w:t>
      </w:r>
      <w:r>
        <w:rPr>
          <w:rStyle w:val="19"/>
          <w:rFonts w:hint="eastAsia" w:ascii="黑体" w:hAnsi="黑体" w:eastAsia="黑体"/>
          <w:b w:val="0"/>
        </w:rPr>
        <w:t>五部分 附表</w:t>
      </w:r>
      <w:bookmarkEnd w:id="71"/>
      <w:bookmarkEnd w:id="74"/>
      <w:bookmarkEnd w:id="75"/>
      <w:bookmarkStart w:id="76" w:name="_Toc15396619"/>
    </w:p>
    <w:p>
      <w:pPr>
        <w:pStyle w:val="4"/>
        <w:rPr>
          <w:rFonts w:hint="eastAsia" w:ascii="宋体" w:hAnsi="宋体" w:eastAsia="宋体" w:cs="宋体"/>
        </w:rPr>
      </w:pPr>
      <w:bookmarkStart w:id="77" w:name="_Toc20499"/>
      <w:r>
        <w:rPr>
          <w:rFonts w:hint="eastAsia" w:ascii="宋体" w:hAnsi="宋体" w:eastAsia="宋体" w:cs="宋体"/>
          <w:b w:val="0"/>
        </w:rPr>
        <w:t>一、收</w:t>
      </w:r>
      <w:r>
        <w:rPr>
          <w:rStyle w:val="20"/>
          <w:rFonts w:hint="eastAsia" w:ascii="宋体" w:hAnsi="宋体" w:eastAsia="宋体" w:cs="宋体"/>
          <w:b w:val="0"/>
          <w:bCs w:val="0"/>
        </w:rPr>
        <w:t>入支出决算总表</w:t>
      </w:r>
      <w:bookmarkEnd w:id="76"/>
      <w:bookmarkEnd w:id="77"/>
    </w:p>
    <w:p>
      <w:pPr>
        <w:pStyle w:val="4"/>
        <w:rPr>
          <w:rFonts w:hint="eastAsia" w:ascii="宋体" w:hAnsi="宋体" w:eastAsia="宋体" w:cs="宋体"/>
        </w:rPr>
      </w:pPr>
      <w:bookmarkStart w:id="78" w:name="_Toc24543"/>
      <w:bookmarkStart w:id="79" w:name="_Toc15396620"/>
      <w:r>
        <w:rPr>
          <w:rFonts w:hint="eastAsia" w:ascii="宋体" w:hAnsi="宋体" w:eastAsia="宋体" w:cs="宋体"/>
          <w:b w:val="0"/>
        </w:rPr>
        <w:t>二、收</w:t>
      </w:r>
      <w:r>
        <w:rPr>
          <w:rStyle w:val="20"/>
          <w:rFonts w:hint="eastAsia" w:ascii="宋体" w:hAnsi="宋体" w:eastAsia="宋体" w:cs="宋体"/>
          <w:b w:val="0"/>
          <w:bCs w:val="0"/>
        </w:rPr>
        <w:t>入决算表</w:t>
      </w:r>
      <w:bookmarkEnd w:id="78"/>
      <w:bookmarkEnd w:id="79"/>
    </w:p>
    <w:p>
      <w:pPr>
        <w:pStyle w:val="4"/>
        <w:rPr>
          <w:rFonts w:hint="eastAsia" w:ascii="宋体" w:hAnsi="宋体" w:eastAsia="宋体" w:cs="宋体"/>
        </w:rPr>
      </w:pPr>
      <w:bookmarkStart w:id="80" w:name="_Toc8278"/>
      <w:bookmarkStart w:id="81" w:name="_Toc15396621"/>
      <w:r>
        <w:rPr>
          <w:rStyle w:val="20"/>
          <w:rFonts w:hint="eastAsia" w:ascii="宋体" w:hAnsi="宋体" w:eastAsia="宋体" w:cs="宋体"/>
          <w:b w:val="0"/>
          <w:bCs w:val="0"/>
        </w:rPr>
        <w:t>三、</w:t>
      </w:r>
      <w:r>
        <w:rPr>
          <w:rFonts w:hint="eastAsia" w:ascii="宋体" w:hAnsi="宋体" w:eastAsia="宋体" w:cs="宋体"/>
          <w:b w:val="0"/>
        </w:rPr>
        <w:t>支</w:t>
      </w:r>
      <w:r>
        <w:rPr>
          <w:rStyle w:val="20"/>
          <w:rFonts w:hint="eastAsia" w:ascii="宋体" w:hAnsi="宋体" w:eastAsia="宋体" w:cs="宋体"/>
          <w:b w:val="0"/>
          <w:bCs w:val="0"/>
        </w:rPr>
        <w:t>出决算表</w:t>
      </w:r>
      <w:bookmarkEnd w:id="80"/>
      <w:bookmarkEnd w:id="81"/>
    </w:p>
    <w:p>
      <w:pPr>
        <w:pStyle w:val="4"/>
        <w:rPr>
          <w:rFonts w:hint="eastAsia" w:ascii="宋体" w:hAnsi="宋体" w:eastAsia="宋体" w:cs="宋体"/>
          <w:b w:val="0"/>
        </w:rPr>
      </w:pPr>
      <w:bookmarkStart w:id="82" w:name="_Toc29903"/>
      <w:bookmarkStart w:id="83" w:name="_Toc15396622"/>
      <w:r>
        <w:rPr>
          <w:rStyle w:val="20"/>
          <w:rFonts w:hint="eastAsia" w:ascii="宋体" w:hAnsi="宋体" w:eastAsia="宋体" w:cs="宋体"/>
          <w:b w:val="0"/>
          <w:bCs w:val="0"/>
        </w:rPr>
        <w:t>四、</w:t>
      </w:r>
      <w:r>
        <w:rPr>
          <w:rFonts w:hint="eastAsia" w:ascii="宋体" w:hAnsi="宋体" w:eastAsia="宋体" w:cs="宋体"/>
          <w:b w:val="0"/>
        </w:rPr>
        <w:t>财</w:t>
      </w:r>
      <w:r>
        <w:rPr>
          <w:rStyle w:val="20"/>
          <w:rFonts w:hint="eastAsia" w:ascii="宋体" w:hAnsi="宋体" w:eastAsia="宋体" w:cs="宋体"/>
          <w:b w:val="0"/>
          <w:bCs w:val="0"/>
        </w:rPr>
        <w:t>政拨款收入支出决算总表</w:t>
      </w:r>
      <w:bookmarkEnd w:id="82"/>
      <w:bookmarkEnd w:id="83"/>
    </w:p>
    <w:p>
      <w:pPr>
        <w:pStyle w:val="4"/>
        <w:rPr>
          <w:rStyle w:val="20"/>
          <w:rFonts w:hint="eastAsia" w:ascii="宋体" w:hAnsi="宋体" w:eastAsia="宋体" w:cs="宋体"/>
          <w:b w:val="0"/>
          <w:bCs w:val="0"/>
        </w:rPr>
      </w:pPr>
      <w:bookmarkStart w:id="84" w:name="_Toc17780"/>
      <w:bookmarkStart w:id="85" w:name="_Toc15396623"/>
      <w:r>
        <w:rPr>
          <w:rStyle w:val="20"/>
          <w:rFonts w:hint="eastAsia" w:ascii="宋体" w:hAnsi="宋体" w:eastAsia="宋体" w:cs="宋体"/>
          <w:b w:val="0"/>
          <w:bCs w:val="0"/>
        </w:rPr>
        <w:t>五、</w:t>
      </w:r>
      <w:r>
        <w:rPr>
          <w:rFonts w:hint="eastAsia" w:ascii="宋体" w:hAnsi="宋体" w:eastAsia="宋体" w:cs="宋体"/>
          <w:b w:val="0"/>
        </w:rPr>
        <w:t>财</w:t>
      </w:r>
      <w:r>
        <w:rPr>
          <w:rStyle w:val="20"/>
          <w:rFonts w:hint="eastAsia" w:ascii="宋体" w:hAnsi="宋体" w:eastAsia="宋体" w:cs="宋体"/>
          <w:b w:val="0"/>
          <w:bCs w:val="0"/>
        </w:rPr>
        <w:t>政拨款支出决算明细表</w:t>
      </w:r>
      <w:bookmarkEnd w:id="84"/>
      <w:bookmarkEnd w:id="85"/>
      <w:bookmarkStart w:id="86" w:name="_Toc15396624"/>
    </w:p>
    <w:p>
      <w:pPr>
        <w:pStyle w:val="4"/>
        <w:rPr>
          <w:rFonts w:hint="eastAsia" w:ascii="宋体" w:hAnsi="宋体" w:eastAsia="宋体" w:cs="宋体"/>
        </w:rPr>
      </w:pPr>
      <w:bookmarkStart w:id="87" w:name="_Toc31303"/>
      <w:r>
        <w:rPr>
          <w:rStyle w:val="20"/>
          <w:rFonts w:hint="eastAsia" w:ascii="宋体" w:hAnsi="宋体" w:eastAsia="宋体" w:cs="宋体"/>
          <w:b w:val="0"/>
          <w:bCs w:val="0"/>
        </w:rPr>
        <w:t>六、</w:t>
      </w:r>
      <w:r>
        <w:rPr>
          <w:rFonts w:hint="eastAsia" w:ascii="宋体" w:hAnsi="宋体" w:eastAsia="宋体" w:cs="宋体"/>
          <w:b w:val="0"/>
        </w:rPr>
        <w:t>一</w:t>
      </w:r>
      <w:r>
        <w:rPr>
          <w:rStyle w:val="20"/>
          <w:rFonts w:hint="eastAsia" w:ascii="宋体" w:hAnsi="宋体" w:eastAsia="宋体" w:cs="宋体"/>
          <w:b w:val="0"/>
          <w:bCs w:val="0"/>
        </w:rPr>
        <w:t>般公共预算财政拨款支出决算表</w:t>
      </w:r>
      <w:bookmarkEnd w:id="86"/>
      <w:bookmarkEnd w:id="87"/>
    </w:p>
    <w:p>
      <w:pPr>
        <w:pStyle w:val="4"/>
        <w:rPr>
          <w:rFonts w:hint="eastAsia" w:ascii="宋体" w:hAnsi="宋体" w:eastAsia="宋体" w:cs="宋体"/>
        </w:rPr>
      </w:pPr>
      <w:bookmarkStart w:id="88" w:name="_Toc15396625"/>
      <w:bookmarkStart w:id="89" w:name="_Toc29881"/>
      <w:r>
        <w:rPr>
          <w:rStyle w:val="20"/>
          <w:rFonts w:hint="eastAsia" w:ascii="宋体" w:hAnsi="宋体" w:eastAsia="宋体" w:cs="宋体"/>
          <w:b w:val="0"/>
          <w:bCs w:val="0"/>
        </w:rPr>
        <w:t>七、</w:t>
      </w:r>
      <w:r>
        <w:rPr>
          <w:rFonts w:hint="eastAsia" w:ascii="宋体" w:hAnsi="宋体" w:eastAsia="宋体" w:cs="宋体"/>
          <w:b w:val="0"/>
        </w:rPr>
        <w:t>一</w:t>
      </w:r>
      <w:r>
        <w:rPr>
          <w:rStyle w:val="20"/>
          <w:rFonts w:hint="eastAsia" w:ascii="宋体" w:hAnsi="宋体" w:eastAsia="宋体" w:cs="宋体"/>
          <w:b w:val="0"/>
          <w:bCs w:val="0"/>
        </w:rPr>
        <w:t>般公共预算财政拨款支出决算明细表</w:t>
      </w:r>
      <w:bookmarkEnd w:id="88"/>
      <w:bookmarkEnd w:id="89"/>
    </w:p>
    <w:p>
      <w:pPr>
        <w:pStyle w:val="4"/>
        <w:rPr>
          <w:rFonts w:hint="eastAsia" w:ascii="宋体" w:hAnsi="宋体" w:eastAsia="宋体" w:cs="宋体"/>
        </w:rPr>
      </w:pPr>
      <w:bookmarkStart w:id="90" w:name="_Toc15396626"/>
      <w:bookmarkStart w:id="91" w:name="_Toc21265"/>
      <w:r>
        <w:rPr>
          <w:rStyle w:val="20"/>
          <w:rFonts w:hint="eastAsia" w:ascii="宋体" w:hAnsi="宋体" w:eastAsia="宋体" w:cs="宋体"/>
          <w:b w:val="0"/>
          <w:bCs w:val="0"/>
        </w:rPr>
        <w:t>八、</w:t>
      </w:r>
      <w:r>
        <w:rPr>
          <w:rFonts w:hint="eastAsia" w:ascii="宋体" w:hAnsi="宋体" w:eastAsia="宋体" w:cs="宋体"/>
          <w:b w:val="0"/>
        </w:rPr>
        <w:t>一</w:t>
      </w:r>
      <w:r>
        <w:rPr>
          <w:rStyle w:val="20"/>
          <w:rFonts w:hint="eastAsia" w:ascii="宋体" w:hAnsi="宋体" w:eastAsia="宋体" w:cs="宋体"/>
          <w:b w:val="0"/>
          <w:bCs w:val="0"/>
        </w:rPr>
        <w:t>般公共预算财政拨款基本支出决算表</w:t>
      </w:r>
      <w:bookmarkEnd w:id="90"/>
      <w:bookmarkEnd w:id="91"/>
    </w:p>
    <w:p>
      <w:pPr>
        <w:pStyle w:val="4"/>
        <w:rPr>
          <w:rFonts w:hint="eastAsia" w:ascii="宋体" w:hAnsi="宋体" w:eastAsia="宋体" w:cs="宋体"/>
        </w:rPr>
      </w:pPr>
      <w:bookmarkStart w:id="92" w:name="_Toc17838"/>
      <w:bookmarkStart w:id="93" w:name="_Toc15396627"/>
      <w:r>
        <w:rPr>
          <w:rStyle w:val="20"/>
          <w:rFonts w:hint="eastAsia" w:ascii="宋体" w:hAnsi="宋体" w:eastAsia="宋体" w:cs="宋体"/>
          <w:b w:val="0"/>
          <w:bCs w:val="0"/>
        </w:rPr>
        <w:t>九、</w:t>
      </w:r>
      <w:r>
        <w:rPr>
          <w:rFonts w:hint="eastAsia" w:ascii="宋体" w:hAnsi="宋体" w:eastAsia="宋体" w:cs="宋体"/>
          <w:b w:val="0"/>
        </w:rPr>
        <w:t>一</w:t>
      </w:r>
      <w:r>
        <w:rPr>
          <w:rStyle w:val="20"/>
          <w:rFonts w:hint="eastAsia" w:ascii="宋体" w:hAnsi="宋体" w:eastAsia="宋体" w:cs="宋体"/>
          <w:b w:val="0"/>
          <w:bCs w:val="0"/>
        </w:rPr>
        <w:t>般公共预算财政拨款项目支出决算表</w:t>
      </w:r>
      <w:bookmarkEnd w:id="92"/>
      <w:bookmarkEnd w:id="93"/>
    </w:p>
    <w:p>
      <w:pPr>
        <w:pStyle w:val="4"/>
        <w:rPr>
          <w:rFonts w:hint="eastAsia" w:ascii="宋体" w:hAnsi="宋体" w:eastAsia="宋体" w:cs="宋体"/>
        </w:rPr>
      </w:pPr>
      <w:bookmarkStart w:id="94" w:name="_Toc15396628"/>
      <w:bookmarkStart w:id="95" w:name="_Toc8404"/>
      <w:r>
        <w:rPr>
          <w:rStyle w:val="20"/>
          <w:rFonts w:hint="eastAsia" w:ascii="宋体" w:hAnsi="宋体" w:eastAsia="宋体" w:cs="宋体"/>
          <w:b w:val="0"/>
          <w:bCs w:val="0"/>
        </w:rPr>
        <w:t>十、</w:t>
      </w:r>
      <w:bookmarkEnd w:id="94"/>
      <w:r>
        <w:rPr>
          <w:rFonts w:hint="eastAsia" w:ascii="宋体" w:hAnsi="宋体" w:eastAsia="宋体" w:cs="宋体"/>
          <w:b w:val="0"/>
        </w:rPr>
        <w:t>政</w:t>
      </w:r>
      <w:r>
        <w:rPr>
          <w:rStyle w:val="20"/>
          <w:rFonts w:hint="eastAsia" w:ascii="宋体" w:hAnsi="宋体" w:eastAsia="宋体" w:cs="宋体"/>
          <w:b w:val="0"/>
          <w:bCs w:val="0"/>
        </w:rPr>
        <w:t>府性基金预算财政拨款收入支出决算表</w:t>
      </w:r>
      <w:bookmarkEnd w:id="95"/>
    </w:p>
    <w:p>
      <w:pPr>
        <w:pStyle w:val="4"/>
        <w:rPr>
          <w:rFonts w:hint="eastAsia" w:ascii="宋体" w:hAnsi="宋体" w:eastAsia="宋体" w:cs="宋体"/>
        </w:rPr>
      </w:pPr>
      <w:bookmarkStart w:id="96" w:name="_Toc15396629"/>
      <w:bookmarkStart w:id="97" w:name="_Toc8859"/>
      <w:r>
        <w:rPr>
          <w:rStyle w:val="20"/>
          <w:rFonts w:hint="eastAsia" w:ascii="宋体" w:hAnsi="宋体" w:eastAsia="宋体" w:cs="宋体"/>
          <w:b w:val="0"/>
          <w:bCs w:val="0"/>
        </w:rPr>
        <w:t>十一、</w:t>
      </w:r>
      <w:bookmarkEnd w:id="96"/>
      <w:r>
        <w:rPr>
          <w:rFonts w:hint="eastAsia" w:ascii="宋体" w:hAnsi="宋体" w:eastAsia="宋体" w:cs="宋体"/>
          <w:b w:val="0"/>
        </w:rPr>
        <w:t>国</w:t>
      </w:r>
      <w:r>
        <w:rPr>
          <w:rStyle w:val="20"/>
          <w:rFonts w:hint="eastAsia" w:ascii="宋体" w:hAnsi="宋体" w:eastAsia="宋体" w:cs="宋体"/>
          <w:b w:val="0"/>
          <w:bCs w:val="0"/>
        </w:rPr>
        <w:t>有资本经营预算财政拨款收入支出决算表</w:t>
      </w:r>
      <w:bookmarkEnd w:id="97"/>
    </w:p>
    <w:p>
      <w:pPr>
        <w:pStyle w:val="4"/>
        <w:rPr>
          <w:rFonts w:hint="eastAsia" w:ascii="宋体" w:hAnsi="宋体" w:eastAsia="宋体" w:cs="宋体"/>
        </w:rPr>
      </w:pPr>
      <w:bookmarkStart w:id="98" w:name="_Toc15396630"/>
      <w:bookmarkStart w:id="99" w:name="_Toc7951"/>
      <w:r>
        <w:rPr>
          <w:rStyle w:val="20"/>
          <w:rFonts w:hint="eastAsia" w:ascii="宋体" w:hAnsi="宋体" w:eastAsia="宋体" w:cs="宋体"/>
          <w:b w:val="0"/>
          <w:bCs w:val="0"/>
        </w:rPr>
        <w:t>十二、</w:t>
      </w:r>
      <w:bookmarkEnd w:id="98"/>
      <w:r>
        <w:rPr>
          <w:rStyle w:val="20"/>
          <w:rFonts w:hint="eastAsia" w:ascii="宋体" w:hAnsi="宋体" w:eastAsia="宋体" w:cs="宋体"/>
          <w:b w:val="0"/>
          <w:bCs w:val="0"/>
        </w:rPr>
        <w:t>国有资本经营预算财政拨款支出决算表</w:t>
      </w:r>
      <w:bookmarkEnd w:id="99"/>
    </w:p>
    <w:p>
      <w:pPr>
        <w:pStyle w:val="4"/>
        <w:rPr>
          <w:rFonts w:hint="eastAsia" w:ascii="宋体" w:hAnsi="宋体" w:eastAsia="宋体" w:cs="宋体"/>
        </w:rPr>
      </w:pPr>
      <w:bookmarkStart w:id="100" w:name="_Toc15396631"/>
      <w:bookmarkStart w:id="101" w:name="_Toc12812"/>
      <w:r>
        <w:rPr>
          <w:rStyle w:val="20"/>
          <w:rFonts w:hint="eastAsia" w:ascii="宋体" w:hAnsi="宋体" w:eastAsia="宋体" w:cs="宋体"/>
          <w:b w:val="0"/>
          <w:bCs w:val="0"/>
        </w:rPr>
        <w:t>十三、</w:t>
      </w:r>
      <w:bookmarkEnd w:id="100"/>
      <w:r>
        <w:rPr>
          <w:rStyle w:val="20"/>
          <w:rFonts w:hint="eastAsia" w:ascii="宋体" w:hAnsi="宋体" w:eastAsia="宋体" w:cs="宋体"/>
          <w:b w:val="0"/>
          <w:bCs w:val="0"/>
        </w:rPr>
        <w:t>财政拨款“三公”经费支出决算表</w:t>
      </w:r>
      <w:bookmarkEnd w:id="101"/>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26</w:t>
    </w:r>
    <w:r>
      <w:rPr>
        <w:lang w:val="zh-CN"/>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kNTk4OGZlNGZiMWM4NDVlOThkNWUxOTY5OWU0MjEifQ=="/>
  </w:docVars>
  <w:rsids>
    <w:rsidRoot w:val="00F1361C"/>
    <w:rsid w:val="0000564C"/>
    <w:rsid w:val="000102D6"/>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4C39"/>
    <w:rsid w:val="000D5782"/>
    <w:rsid w:val="000D71DC"/>
    <w:rsid w:val="000E6613"/>
    <w:rsid w:val="000E7119"/>
    <w:rsid w:val="000F10D5"/>
    <w:rsid w:val="000F3D44"/>
    <w:rsid w:val="00102053"/>
    <w:rsid w:val="001071B2"/>
    <w:rsid w:val="00114E9B"/>
    <w:rsid w:val="001409DA"/>
    <w:rsid w:val="00141BDF"/>
    <w:rsid w:val="00142216"/>
    <w:rsid w:val="00144D6A"/>
    <w:rsid w:val="0014729F"/>
    <w:rsid w:val="00157BAB"/>
    <w:rsid w:val="001623FE"/>
    <w:rsid w:val="001654D1"/>
    <w:rsid w:val="00166CE3"/>
    <w:rsid w:val="001711C6"/>
    <w:rsid w:val="00174518"/>
    <w:rsid w:val="001763A5"/>
    <w:rsid w:val="0018106D"/>
    <w:rsid w:val="001877A7"/>
    <w:rsid w:val="00191536"/>
    <w:rsid w:val="00196687"/>
    <w:rsid w:val="001C0962"/>
    <w:rsid w:val="001D7531"/>
    <w:rsid w:val="001E737D"/>
    <w:rsid w:val="001F0592"/>
    <w:rsid w:val="001F7506"/>
    <w:rsid w:val="002006CD"/>
    <w:rsid w:val="00202B36"/>
    <w:rsid w:val="00204B7A"/>
    <w:rsid w:val="00204CDE"/>
    <w:rsid w:val="00206208"/>
    <w:rsid w:val="0021101A"/>
    <w:rsid w:val="00220536"/>
    <w:rsid w:val="00227C41"/>
    <w:rsid w:val="00233ACF"/>
    <w:rsid w:val="00235629"/>
    <w:rsid w:val="00242025"/>
    <w:rsid w:val="0025759A"/>
    <w:rsid w:val="0025788B"/>
    <w:rsid w:val="00260C38"/>
    <w:rsid w:val="002616C0"/>
    <w:rsid w:val="00265372"/>
    <w:rsid w:val="002662AA"/>
    <w:rsid w:val="00280496"/>
    <w:rsid w:val="00294DC9"/>
    <w:rsid w:val="00295317"/>
    <w:rsid w:val="00295495"/>
    <w:rsid w:val="002979AF"/>
    <w:rsid w:val="00297D90"/>
    <w:rsid w:val="002A31DE"/>
    <w:rsid w:val="002B0F23"/>
    <w:rsid w:val="002B2613"/>
    <w:rsid w:val="002C11DA"/>
    <w:rsid w:val="002C1692"/>
    <w:rsid w:val="002D106D"/>
    <w:rsid w:val="002D6D05"/>
    <w:rsid w:val="002E314B"/>
    <w:rsid w:val="002F1818"/>
    <w:rsid w:val="002F2B09"/>
    <w:rsid w:val="002F567B"/>
    <w:rsid w:val="003216A9"/>
    <w:rsid w:val="00323D64"/>
    <w:rsid w:val="00335A74"/>
    <w:rsid w:val="003433BA"/>
    <w:rsid w:val="00347872"/>
    <w:rsid w:val="00351E79"/>
    <w:rsid w:val="0036561B"/>
    <w:rsid w:val="0037013F"/>
    <w:rsid w:val="003774E9"/>
    <w:rsid w:val="00380C92"/>
    <w:rsid w:val="003836BC"/>
    <w:rsid w:val="003A484F"/>
    <w:rsid w:val="003A4883"/>
    <w:rsid w:val="003B0BE0"/>
    <w:rsid w:val="003B0C1B"/>
    <w:rsid w:val="003B688C"/>
    <w:rsid w:val="003C0291"/>
    <w:rsid w:val="003C38C5"/>
    <w:rsid w:val="003C39AE"/>
    <w:rsid w:val="003C7B60"/>
    <w:rsid w:val="003D0C0F"/>
    <w:rsid w:val="003D1FB2"/>
    <w:rsid w:val="003D35A7"/>
    <w:rsid w:val="003D3764"/>
    <w:rsid w:val="003D66DA"/>
    <w:rsid w:val="003E1310"/>
    <w:rsid w:val="003E64E8"/>
    <w:rsid w:val="003E6F55"/>
    <w:rsid w:val="00406254"/>
    <w:rsid w:val="004222C7"/>
    <w:rsid w:val="004223DE"/>
    <w:rsid w:val="00434489"/>
    <w:rsid w:val="00437085"/>
    <w:rsid w:val="00443880"/>
    <w:rsid w:val="004464F4"/>
    <w:rsid w:val="00471401"/>
    <w:rsid w:val="00473F31"/>
    <w:rsid w:val="004762B5"/>
    <w:rsid w:val="0048263A"/>
    <w:rsid w:val="00487A73"/>
    <w:rsid w:val="00487E5D"/>
    <w:rsid w:val="004950EA"/>
    <w:rsid w:val="004A711F"/>
    <w:rsid w:val="004B199D"/>
    <w:rsid w:val="004B4690"/>
    <w:rsid w:val="004E0A2D"/>
    <w:rsid w:val="004E206B"/>
    <w:rsid w:val="004E6911"/>
    <w:rsid w:val="004E6DF7"/>
    <w:rsid w:val="004F0FBD"/>
    <w:rsid w:val="00505A47"/>
    <w:rsid w:val="005110A6"/>
    <w:rsid w:val="00512FDA"/>
    <w:rsid w:val="00520DA0"/>
    <w:rsid w:val="005664BB"/>
    <w:rsid w:val="00566FFA"/>
    <w:rsid w:val="0057481D"/>
    <w:rsid w:val="0058486E"/>
    <w:rsid w:val="00585B33"/>
    <w:rsid w:val="00586942"/>
    <w:rsid w:val="0059014D"/>
    <w:rsid w:val="005A1464"/>
    <w:rsid w:val="005A1AC7"/>
    <w:rsid w:val="005B5C64"/>
    <w:rsid w:val="005C5337"/>
    <w:rsid w:val="005C6BD0"/>
    <w:rsid w:val="005D1C8B"/>
    <w:rsid w:val="005D468D"/>
    <w:rsid w:val="005D5CED"/>
    <w:rsid w:val="005E5579"/>
    <w:rsid w:val="005E763F"/>
    <w:rsid w:val="005F1A4C"/>
    <w:rsid w:val="005F6144"/>
    <w:rsid w:val="00605688"/>
    <w:rsid w:val="006070AF"/>
    <w:rsid w:val="00607E6C"/>
    <w:rsid w:val="006101B1"/>
    <w:rsid w:val="00614E44"/>
    <w:rsid w:val="0062270A"/>
    <w:rsid w:val="00622830"/>
    <w:rsid w:val="00623DA0"/>
    <w:rsid w:val="00630AEF"/>
    <w:rsid w:val="006325F8"/>
    <w:rsid w:val="00633463"/>
    <w:rsid w:val="00633C0D"/>
    <w:rsid w:val="00634C9A"/>
    <w:rsid w:val="00636CE1"/>
    <w:rsid w:val="00643362"/>
    <w:rsid w:val="006440E4"/>
    <w:rsid w:val="0066343B"/>
    <w:rsid w:val="00664777"/>
    <w:rsid w:val="00670321"/>
    <w:rsid w:val="006748A4"/>
    <w:rsid w:val="00681A31"/>
    <w:rsid w:val="00683E73"/>
    <w:rsid w:val="00687DAA"/>
    <w:rsid w:val="00692E5A"/>
    <w:rsid w:val="006A3141"/>
    <w:rsid w:val="006A5E34"/>
    <w:rsid w:val="006B2422"/>
    <w:rsid w:val="006B2B9A"/>
    <w:rsid w:val="006C1937"/>
    <w:rsid w:val="006C583B"/>
    <w:rsid w:val="006F020C"/>
    <w:rsid w:val="006F2EAA"/>
    <w:rsid w:val="006F3DF9"/>
    <w:rsid w:val="006F49B4"/>
    <w:rsid w:val="007127B7"/>
    <w:rsid w:val="00715330"/>
    <w:rsid w:val="0071798E"/>
    <w:rsid w:val="00737C3A"/>
    <w:rsid w:val="007416B6"/>
    <w:rsid w:val="00746F48"/>
    <w:rsid w:val="0075404D"/>
    <w:rsid w:val="0076182A"/>
    <w:rsid w:val="0076700D"/>
    <w:rsid w:val="00767B7E"/>
    <w:rsid w:val="007770C3"/>
    <w:rsid w:val="00784D24"/>
    <w:rsid w:val="0078596E"/>
    <w:rsid w:val="00785FBA"/>
    <w:rsid w:val="00786E4A"/>
    <w:rsid w:val="007875EB"/>
    <w:rsid w:val="0079426B"/>
    <w:rsid w:val="007C6292"/>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476D3"/>
    <w:rsid w:val="00850625"/>
    <w:rsid w:val="00853718"/>
    <w:rsid w:val="00855221"/>
    <w:rsid w:val="00857E8D"/>
    <w:rsid w:val="00860645"/>
    <w:rsid w:val="00871F71"/>
    <w:rsid w:val="00872FD8"/>
    <w:rsid w:val="008768AE"/>
    <w:rsid w:val="008773F2"/>
    <w:rsid w:val="00885AF4"/>
    <w:rsid w:val="008939CD"/>
    <w:rsid w:val="008B768C"/>
    <w:rsid w:val="008C4DB1"/>
    <w:rsid w:val="008C4EAF"/>
    <w:rsid w:val="008C5176"/>
    <w:rsid w:val="008C7FD0"/>
    <w:rsid w:val="008D5076"/>
    <w:rsid w:val="008E1DE7"/>
    <w:rsid w:val="008E707C"/>
    <w:rsid w:val="00900B08"/>
    <w:rsid w:val="00902155"/>
    <w:rsid w:val="00902FA3"/>
    <w:rsid w:val="009170EE"/>
    <w:rsid w:val="00920240"/>
    <w:rsid w:val="00923564"/>
    <w:rsid w:val="0092392E"/>
    <w:rsid w:val="00923AC7"/>
    <w:rsid w:val="009315F9"/>
    <w:rsid w:val="00933499"/>
    <w:rsid w:val="00935C98"/>
    <w:rsid w:val="00946945"/>
    <w:rsid w:val="00951248"/>
    <w:rsid w:val="0095152F"/>
    <w:rsid w:val="00954C49"/>
    <w:rsid w:val="00955E37"/>
    <w:rsid w:val="00967D7F"/>
    <w:rsid w:val="0097099F"/>
    <w:rsid w:val="00971997"/>
    <w:rsid w:val="00971FFC"/>
    <w:rsid w:val="0097587F"/>
    <w:rsid w:val="0098660A"/>
    <w:rsid w:val="00990047"/>
    <w:rsid w:val="009931C3"/>
    <w:rsid w:val="009B2C43"/>
    <w:rsid w:val="009B4EAE"/>
    <w:rsid w:val="009B7573"/>
    <w:rsid w:val="009C22F4"/>
    <w:rsid w:val="009C2A4B"/>
    <w:rsid w:val="009C2E98"/>
    <w:rsid w:val="009D3447"/>
    <w:rsid w:val="009D4711"/>
    <w:rsid w:val="009E702F"/>
    <w:rsid w:val="009E7F2E"/>
    <w:rsid w:val="009F002A"/>
    <w:rsid w:val="009F1185"/>
    <w:rsid w:val="009F18CD"/>
    <w:rsid w:val="009F2A13"/>
    <w:rsid w:val="009F7527"/>
    <w:rsid w:val="00A04EB0"/>
    <w:rsid w:val="00A13CC1"/>
    <w:rsid w:val="00A16847"/>
    <w:rsid w:val="00A237D8"/>
    <w:rsid w:val="00A268C4"/>
    <w:rsid w:val="00A307CD"/>
    <w:rsid w:val="00A315B5"/>
    <w:rsid w:val="00A331C8"/>
    <w:rsid w:val="00A33E9E"/>
    <w:rsid w:val="00A40A00"/>
    <w:rsid w:val="00A40AAC"/>
    <w:rsid w:val="00A4142F"/>
    <w:rsid w:val="00A422EB"/>
    <w:rsid w:val="00A4487E"/>
    <w:rsid w:val="00A45BB7"/>
    <w:rsid w:val="00A56AAE"/>
    <w:rsid w:val="00A56DF2"/>
    <w:rsid w:val="00A56E6E"/>
    <w:rsid w:val="00A67AB5"/>
    <w:rsid w:val="00A733B2"/>
    <w:rsid w:val="00A741C2"/>
    <w:rsid w:val="00A7430C"/>
    <w:rsid w:val="00A826CE"/>
    <w:rsid w:val="00A87C06"/>
    <w:rsid w:val="00A91760"/>
    <w:rsid w:val="00A927C4"/>
    <w:rsid w:val="00A93B00"/>
    <w:rsid w:val="00A93C21"/>
    <w:rsid w:val="00AA318D"/>
    <w:rsid w:val="00AB64C9"/>
    <w:rsid w:val="00AC3C6A"/>
    <w:rsid w:val="00AD5620"/>
    <w:rsid w:val="00AD656B"/>
    <w:rsid w:val="00AD7C1B"/>
    <w:rsid w:val="00AE16BA"/>
    <w:rsid w:val="00AE1EBE"/>
    <w:rsid w:val="00B03C9D"/>
    <w:rsid w:val="00B060AE"/>
    <w:rsid w:val="00B1042D"/>
    <w:rsid w:val="00B10517"/>
    <w:rsid w:val="00B14E76"/>
    <w:rsid w:val="00B161B8"/>
    <w:rsid w:val="00B2048C"/>
    <w:rsid w:val="00B24D5B"/>
    <w:rsid w:val="00B310B9"/>
    <w:rsid w:val="00B35F3F"/>
    <w:rsid w:val="00B36CBB"/>
    <w:rsid w:val="00B425E0"/>
    <w:rsid w:val="00B440AA"/>
    <w:rsid w:val="00B44B70"/>
    <w:rsid w:val="00B53C56"/>
    <w:rsid w:val="00B57DAF"/>
    <w:rsid w:val="00B67DC5"/>
    <w:rsid w:val="00B77EA6"/>
    <w:rsid w:val="00B81598"/>
    <w:rsid w:val="00B841F1"/>
    <w:rsid w:val="00B84208"/>
    <w:rsid w:val="00B944D6"/>
    <w:rsid w:val="00BB2CD0"/>
    <w:rsid w:val="00BB4DF0"/>
    <w:rsid w:val="00BC289F"/>
    <w:rsid w:val="00BC2D50"/>
    <w:rsid w:val="00BC5361"/>
    <w:rsid w:val="00BC5460"/>
    <w:rsid w:val="00BC6B50"/>
    <w:rsid w:val="00BD0E25"/>
    <w:rsid w:val="00BD1ED3"/>
    <w:rsid w:val="00BF0B16"/>
    <w:rsid w:val="00BF1279"/>
    <w:rsid w:val="00BF5BD6"/>
    <w:rsid w:val="00C03AF0"/>
    <w:rsid w:val="00C03E31"/>
    <w:rsid w:val="00C33E72"/>
    <w:rsid w:val="00C354B2"/>
    <w:rsid w:val="00C35554"/>
    <w:rsid w:val="00C42709"/>
    <w:rsid w:val="00C43492"/>
    <w:rsid w:val="00C52682"/>
    <w:rsid w:val="00C533CC"/>
    <w:rsid w:val="00C5751C"/>
    <w:rsid w:val="00C61BFC"/>
    <w:rsid w:val="00C62B85"/>
    <w:rsid w:val="00C65438"/>
    <w:rsid w:val="00C66B3D"/>
    <w:rsid w:val="00C87FD8"/>
    <w:rsid w:val="00C91381"/>
    <w:rsid w:val="00C91CBB"/>
    <w:rsid w:val="00CA672C"/>
    <w:rsid w:val="00CB4E70"/>
    <w:rsid w:val="00CB7979"/>
    <w:rsid w:val="00CC09B6"/>
    <w:rsid w:val="00CC666F"/>
    <w:rsid w:val="00CD1E3F"/>
    <w:rsid w:val="00CE44F6"/>
    <w:rsid w:val="00CE49DA"/>
    <w:rsid w:val="00CE7B61"/>
    <w:rsid w:val="00D00095"/>
    <w:rsid w:val="00D114F0"/>
    <w:rsid w:val="00D20620"/>
    <w:rsid w:val="00D254F7"/>
    <w:rsid w:val="00D26091"/>
    <w:rsid w:val="00D2685C"/>
    <w:rsid w:val="00D31D61"/>
    <w:rsid w:val="00D34E7C"/>
    <w:rsid w:val="00D35489"/>
    <w:rsid w:val="00D36AFE"/>
    <w:rsid w:val="00D50889"/>
    <w:rsid w:val="00D51276"/>
    <w:rsid w:val="00D52FB7"/>
    <w:rsid w:val="00D7035F"/>
    <w:rsid w:val="00D9557B"/>
    <w:rsid w:val="00DA634F"/>
    <w:rsid w:val="00DA65AC"/>
    <w:rsid w:val="00DB1913"/>
    <w:rsid w:val="00DC410D"/>
    <w:rsid w:val="00DC5A81"/>
    <w:rsid w:val="00DC68CA"/>
    <w:rsid w:val="00DC7B5D"/>
    <w:rsid w:val="00DC7CBA"/>
    <w:rsid w:val="00DD73B7"/>
    <w:rsid w:val="00DF28BC"/>
    <w:rsid w:val="00DF34B9"/>
    <w:rsid w:val="00E01053"/>
    <w:rsid w:val="00E07ACF"/>
    <w:rsid w:val="00E11386"/>
    <w:rsid w:val="00E331A1"/>
    <w:rsid w:val="00E33202"/>
    <w:rsid w:val="00E336A9"/>
    <w:rsid w:val="00E3659F"/>
    <w:rsid w:val="00E472B1"/>
    <w:rsid w:val="00E50624"/>
    <w:rsid w:val="00E568DF"/>
    <w:rsid w:val="00E64269"/>
    <w:rsid w:val="00E656F6"/>
    <w:rsid w:val="00E82267"/>
    <w:rsid w:val="00E839D1"/>
    <w:rsid w:val="00E84592"/>
    <w:rsid w:val="00E853CE"/>
    <w:rsid w:val="00E867B6"/>
    <w:rsid w:val="00EA010F"/>
    <w:rsid w:val="00EB16D0"/>
    <w:rsid w:val="00EC5535"/>
    <w:rsid w:val="00ED1B63"/>
    <w:rsid w:val="00ED3C1F"/>
    <w:rsid w:val="00ED4085"/>
    <w:rsid w:val="00ED420E"/>
    <w:rsid w:val="00ED6FBE"/>
    <w:rsid w:val="00EE2F57"/>
    <w:rsid w:val="00EF4C34"/>
    <w:rsid w:val="00EF77C6"/>
    <w:rsid w:val="00F007D9"/>
    <w:rsid w:val="00F04743"/>
    <w:rsid w:val="00F05438"/>
    <w:rsid w:val="00F114F0"/>
    <w:rsid w:val="00F1361C"/>
    <w:rsid w:val="00F156F0"/>
    <w:rsid w:val="00F160C7"/>
    <w:rsid w:val="00F2408F"/>
    <w:rsid w:val="00F240E9"/>
    <w:rsid w:val="00F36D8F"/>
    <w:rsid w:val="00F417B1"/>
    <w:rsid w:val="00F42845"/>
    <w:rsid w:val="00F45853"/>
    <w:rsid w:val="00F521F6"/>
    <w:rsid w:val="00F602DF"/>
    <w:rsid w:val="00F754A1"/>
    <w:rsid w:val="00F81FD9"/>
    <w:rsid w:val="00F841AA"/>
    <w:rsid w:val="00F84A94"/>
    <w:rsid w:val="00F87E96"/>
    <w:rsid w:val="00FA23E8"/>
    <w:rsid w:val="00FB6042"/>
    <w:rsid w:val="00FD027D"/>
    <w:rsid w:val="00FD3CC1"/>
    <w:rsid w:val="00FE6E45"/>
    <w:rsid w:val="00FF1E02"/>
    <w:rsid w:val="00FF30B4"/>
    <w:rsid w:val="01E45F02"/>
    <w:rsid w:val="04B25EC7"/>
    <w:rsid w:val="05002D34"/>
    <w:rsid w:val="07F5694E"/>
    <w:rsid w:val="093F343F"/>
    <w:rsid w:val="0A2032A3"/>
    <w:rsid w:val="0B8A37D8"/>
    <w:rsid w:val="0C980C60"/>
    <w:rsid w:val="0D8F17AE"/>
    <w:rsid w:val="0F1A65B5"/>
    <w:rsid w:val="10C055FF"/>
    <w:rsid w:val="118107EC"/>
    <w:rsid w:val="11DD6519"/>
    <w:rsid w:val="145F38D9"/>
    <w:rsid w:val="14BE5222"/>
    <w:rsid w:val="15856278"/>
    <w:rsid w:val="16353C00"/>
    <w:rsid w:val="16BB723D"/>
    <w:rsid w:val="18015F3F"/>
    <w:rsid w:val="18DB3104"/>
    <w:rsid w:val="1B434989"/>
    <w:rsid w:val="1BE8440E"/>
    <w:rsid w:val="1D155CEE"/>
    <w:rsid w:val="20F57F95"/>
    <w:rsid w:val="240371BF"/>
    <w:rsid w:val="246B6A3F"/>
    <w:rsid w:val="2561122B"/>
    <w:rsid w:val="25711CC6"/>
    <w:rsid w:val="25C741E6"/>
    <w:rsid w:val="26686E14"/>
    <w:rsid w:val="2670344A"/>
    <w:rsid w:val="27654B13"/>
    <w:rsid w:val="27842671"/>
    <w:rsid w:val="293D309F"/>
    <w:rsid w:val="29FD04D3"/>
    <w:rsid w:val="2ABE7A3E"/>
    <w:rsid w:val="2CA234A8"/>
    <w:rsid w:val="2DC3655B"/>
    <w:rsid w:val="2EFA178C"/>
    <w:rsid w:val="2FC949E6"/>
    <w:rsid w:val="30B46D73"/>
    <w:rsid w:val="30D61664"/>
    <w:rsid w:val="319F7F4E"/>
    <w:rsid w:val="3543355E"/>
    <w:rsid w:val="383D272C"/>
    <w:rsid w:val="399E7355"/>
    <w:rsid w:val="39AE70AB"/>
    <w:rsid w:val="3C0C0783"/>
    <w:rsid w:val="3EAB41B0"/>
    <w:rsid w:val="3F9F3A96"/>
    <w:rsid w:val="43EF6421"/>
    <w:rsid w:val="457C68A6"/>
    <w:rsid w:val="45D2617D"/>
    <w:rsid w:val="46E76F97"/>
    <w:rsid w:val="48BF60AB"/>
    <w:rsid w:val="493C27E9"/>
    <w:rsid w:val="496F39ED"/>
    <w:rsid w:val="49FF41D3"/>
    <w:rsid w:val="4A2C2648"/>
    <w:rsid w:val="4BE068DB"/>
    <w:rsid w:val="4BE77467"/>
    <w:rsid w:val="4BF6002B"/>
    <w:rsid w:val="4ECE2238"/>
    <w:rsid w:val="51DB4B86"/>
    <w:rsid w:val="540746F2"/>
    <w:rsid w:val="55333C3E"/>
    <w:rsid w:val="5B3B68B4"/>
    <w:rsid w:val="5CF8619E"/>
    <w:rsid w:val="5F886DD2"/>
    <w:rsid w:val="6220517D"/>
    <w:rsid w:val="626F647D"/>
    <w:rsid w:val="6476187C"/>
    <w:rsid w:val="64CA39A1"/>
    <w:rsid w:val="69630ADE"/>
    <w:rsid w:val="6C4A05C8"/>
    <w:rsid w:val="6D3B1A89"/>
    <w:rsid w:val="6D6105B3"/>
    <w:rsid w:val="71BF4EC2"/>
    <w:rsid w:val="72734D90"/>
    <w:rsid w:val="73ED5DA0"/>
    <w:rsid w:val="7412278C"/>
    <w:rsid w:val="79327651"/>
    <w:rsid w:val="79E7B28D"/>
    <w:rsid w:val="7B7535A0"/>
    <w:rsid w:val="7F9F20EE"/>
    <w:rsid w:val="9E3A10E2"/>
    <w:rsid w:val="F2E1F9D4"/>
    <w:rsid w:val="F78808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0"/>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5">
    <w:name w:val="heading 3"/>
    <w:basedOn w:val="1"/>
    <w:next w:val="1"/>
    <w:link w:val="21"/>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uiPriority w:val="1"/>
  </w:style>
  <w:style w:type="table" w:default="1" w:styleId="14">
    <w:name w:val="Normal Table"/>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Style w:val="14"/>
      <w:tblCellMar>
        <w:top w:w="0" w:type="dxa"/>
        <w:left w:w="108" w:type="dxa"/>
        <w:bottom w:w="0" w:type="dxa"/>
        <w:right w:w="108" w:type="dxa"/>
      </w:tblCellMar>
    </w:tblPr>
  </w:style>
  <w:style w:type="paragraph" w:styleId="2">
    <w:name w:val="Body Text"/>
    <w:basedOn w:val="1"/>
    <w:link w:val="18"/>
    <w:qFormat/>
    <w:uiPriority w:val="99"/>
    <w:pPr>
      <w:spacing w:beforeLines="30"/>
    </w:pPr>
    <w:rPr>
      <w:rFonts w:ascii="仿宋_GB2312" w:eastAsia="仿宋_GB2312"/>
      <w:kern w:val="0"/>
      <w:sz w:val="30"/>
    </w:rPr>
  </w:style>
  <w:style w:type="paragraph" w:styleId="6">
    <w:name w:val="annotation text"/>
    <w:basedOn w:val="1"/>
    <w:unhideWhenUsed/>
    <w:uiPriority w:val="99"/>
    <w:pPr>
      <w:jc w:val="left"/>
    </w:p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2"/>
    <w:unhideWhenUsed/>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u w:val="single"/>
    </w:rPr>
  </w:style>
  <w:style w:type="character" w:customStyle="1" w:styleId="18">
    <w:name w:val="正文文本 Char"/>
    <w:link w:val="2"/>
    <w:qFormat/>
    <w:locked/>
    <w:uiPriority w:val="99"/>
    <w:rPr>
      <w:rFonts w:ascii="仿宋_GB2312" w:hAnsi="Times New Roman" w:eastAsia="仿宋_GB2312"/>
      <w:sz w:val="24"/>
    </w:rPr>
  </w:style>
  <w:style w:type="character" w:customStyle="1" w:styleId="19">
    <w:name w:val="标题 1 Char"/>
    <w:basedOn w:val="15"/>
    <w:link w:val="3"/>
    <w:qFormat/>
    <w:uiPriority w:val="9"/>
    <w:rPr>
      <w:rFonts w:ascii="Times New Roman" w:hAnsi="Times New Roman"/>
      <w:b/>
      <w:bCs/>
      <w:kern w:val="44"/>
      <w:sz w:val="44"/>
      <w:szCs w:val="44"/>
    </w:rPr>
  </w:style>
  <w:style w:type="character" w:customStyle="1" w:styleId="20">
    <w:name w:val="标题 2 Char"/>
    <w:basedOn w:val="15"/>
    <w:link w:val="4"/>
    <w:qFormat/>
    <w:uiPriority w:val="9"/>
    <w:rPr>
      <w:rFonts w:ascii="Cambria" w:hAnsi="Cambria" w:eastAsia="宋体" w:cs="Times New Roman"/>
      <w:b/>
      <w:bCs/>
      <w:kern w:val="2"/>
      <w:sz w:val="32"/>
      <w:szCs w:val="32"/>
    </w:rPr>
  </w:style>
  <w:style w:type="character" w:customStyle="1" w:styleId="21">
    <w:name w:val="标题 3 Char"/>
    <w:basedOn w:val="15"/>
    <w:link w:val="5"/>
    <w:qFormat/>
    <w:uiPriority w:val="9"/>
    <w:rPr>
      <w:rFonts w:ascii="Times New Roman" w:hAnsi="Times New Roman"/>
      <w:b/>
      <w:bCs/>
      <w:kern w:val="2"/>
      <w:sz w:val="32"/>
      <w:szCs w:val="32"/>
    </w:rPr>
  </w:style>
  <w:style w:type="character" w:customStyle="1" w:styleId="22">
    <w:name w:val="批注框文本 Char"/>
    <w:basedOn w:val="15"/>
    <w:link w:val="8"/>
    <w:semiHidden/>
    <w:qFormat/>
    <w:uiPriority w:val="99"/>
    <w:rPr>
      <w:rFonts w:ascii="Times New Roman" w:hAnsi="Times New Roman"/>
      <w:kern w:val="2"/>
      <w:sz w:val="18"/>
      <w:szCs w:val="18"/>
    </w:rPr>
  </w:style>
  <w:style w:type="character" w:customStyle="1" w:styleId="23">
    <w:name w:val="页脚 Char"/>
    <w:link w:val="9"/>
    <w:qFormat/>
    <w:locked/>
    <w:uiPriority w:val="99"/>
    <w:rPr>
      <w:sz w:val="18"/>
    </w:rPr>
  </w:style>
  <w:style w:type="character" w:customStyle="1" w:styleId="24">
    <w:name w:val="页眉 Char"/>
    <w:link w:val="10"/>
    <w:semiHidden/>
    <w:qFormat/>
    <w:locked/>
    <w:uiPriority w:val="99"/>
    <w:rPr>
      <w:sz w:val="18"/>
    </w:rPr>
  </w:style>
  <w:style w:type="character" w:customStyle="1" w:styleId="25">
    <w:name w:val="Body Text Char"/>
    <w:basedOn w:val="15"/>
    <w:semiHidden/>
    <w:qFormat/>
    <w:uiPriority w:val="99"/>
    <w:rPr>
      <w:rFonts w:ascii="Times New Roman" w:hAnsi="Times New Roman"/>
      <w:szCs w:val="24"/>
    </w:rPr>
  </w:style>
  <w:style w:type="character" w:customStyle="1" w:styleId="26">
    <w:name w:val="Footer Char"/>
    <w:basedOn w:val="15"/>
    <w:semiHidden/>
    <w:qFormat/>
    <w:uiPriority w:val="99"/>
    <w:rPr>
      <w:rFonts w:ascii="Times New Roman" w:hAnsi="Times New Roman"/>
      <w:sz w:val="18"/>
      <w:szCs w:val="18"/>
    </w:rPr>
  </w:style>
  <w:style w:type="character" w:customStyle="1" w:styleId="27">
    <w:name w:val="Header Char"/>
    <w:basedOn w:val="15"/>
    <w:semiHidden/>
    <w:qFormat/>
    <w:uiPriority w:val="99"/>
    <w:rPr>
      <w:rFonts w:ascii="Times New Roman" w:hAnsi="Times New Roman"/>
      <w:sz w:val="18"/>
      <w:szCs w:val="18"/>
    </w:rPr>
  </w:style>
  <w:style w:type="paragraph" w:customStyle="1" w:styleId="28">
    <w:name w:val="TOC Heading"/>
    <w:basedOn w:val="3"/>
    <w:next w:val="1"/>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0">
    <w:name w:val="WPSOffice手动目录 2"/>
    <w:uiPriority w:val="0"/>
    <w:pPr>
      <w:ind w:leftChars="200"/>
    </w:pPr>
    <w:rPr>
      <w:sz w:val="20"/>
      <w:szCs w:val="20"/>
    </w:rPr>
  </w:style>
  <w:style w:type="paragraph" w:styleId="31">
    <w:name w:val="List Paragraph"/>
    <w:basedOn w:val="1"/>
    <w:qFormat/>
    <w:uiPriority w:val="34"/>
    <w:pPr>
      <w:ind w:firstLine="420" w:firstLineChars="200"/>
    </w:pPr>
  </w:style>
  <w:style w:type="paragraph" w:customStyle="1" w:styleId="32">
    <w:name w:val="WPSOffice手动目录 1"/>
    <w:uiPriority w:val="0"/>
    <w:pPr>
      <w:ind w:leftChars="0"/>
    </w:pPr>
    <w:rPr>
      <w:sz w:val="20"/>
      <w:szCs w:val="20"/>
    </w:rPr>
  </w:style>
  <w:style w:type="paragraph" w:customStyle="1" w:styleId="33">
    <w:name w:val="TOC 标题1"/>
    <w:basedOn w:val="3"/>
    <w:next w:val="1"/>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4">
    <w:name w:val="TOC 标题2"/>
    <w:basedOn w:val="3"/>
    <w:next w:val="1"/>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25968;&#25454;&#23545;&#27604;&#65288;&#26609;&#29366;&#22270;&#31561;&#65289;2022&#24180;&#20915;&#3163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25968;&#25454;&#23545;&#27604;&#65288;&#26609;&#29366;&#22270;&#31561;&#65289;2022&#24180;&#20915;&#3163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25968;&#25454;&#23545;&#27604;&#65288;&#26609;&#29366;&#22270;&#31561;&#65289;2022&#24180;&#20915;&#3163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25968;&#25454;&#23545;&#27604;&#65288;&#26609;&#29366;&#22270;&#31561;&#65289;2022&#24180;&#20915;&#3163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esktop\&#25968;&#25454;&#23545;&#27604;&#65288;&#26609;&#29366;&#22270;&#31561;&#65289;2022&#24180;&#20915;&#3163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esktop\&#25968;&#25454;&#23545;&#27604;&#65288;&#26609;&#29366;&#22270;&#31561;&#65289;2022&#24180;&#20915;&#3163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p\Desktop\&#25968;&#25454;&#23545;&#27604;&#65288;&#26609;&#29366;&#22270;&#31561;&#65289;2022&#24180;&#20915;&#3163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lang="en-US" altLang="zh-CN"/>
              <a:t>                                                      </a:t>
            </a:r>
            <a:r>
              <a:rPr lang="en-US" altLang="zh-CN" sz="1000">
                <a:solidFill>
                  <a:srgbClr val="595959">
                    <a:lumMod val="65000"/>
                    <a:lumOff val="35000"/>
                  </a:srgbClr>
                </a:solidFill>
                <a:uFillTx/>
              </a:rPr>
              <a:t>                        </a:t>
            </a:r>
            <a:r>
              <a:rPr sz="1000">
                <a:solidFill>
                  <a:srgbClr val="595959">
                    <a:lumMod val="65000"/>
                    <a:lumOff val="35000"/>
                  </a:srgbClr>
                </a:solidFill>
                <a:uFillTx/>
              </a:rPr>
              <a:t>单位：万元</a:t>
            </a:r>
            <a:endParaRPr sz="1000">
              <a:solidFill>
                <a:srgbClr val="595959">
                  <a:lumMod val="65000"/>
                  <a:lumOff val="35000"/>
                </a:srgbClr>
              </a:solidFill>
              <a:uFillTx/>
            </a:endParaRPr>
          </a:p>
        </c:rich>
      </c:tx>
      <c:layout>
        <c:manualLayout>
          <c:xMode val="edge"/>
          <c:yMode val="edge"/>
          <c:x val="0.218055555555556"/>
          <c:y val="0.0381944444444444"/>
        </c:manualLayout>
      </c:layout>
      <c:overlay val="0"/>
      <c:spPr>
        <a:noFill/>
        <a:ln>
          <a:noFill/>
        </a:ln>
        <a:effectLst/>
      </c:spPr>
    </c:title>
    <c:autoTitleDeleted val="0"/>
    <c:plotArea>
      <c:layout/>
      <c:barChart>
        <c:barDir val="col"/>
        <c:grouping val="clustered"/>
        <c:varyColors val="0"/>
        <c:ser>
          <c:idx val="0"/>
          <c:order val="0"/>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'[数据对比（柱状图等）2022年决算.xlsx]1'!$B$5:$B$6</c:f>
              <c:strCache>
                <c:ptCount val="2"/>
                <c:pt idx="0">
                  <c:v>2021年</c:v>
                </c:pt>
                <c:pt idx="1">
                  <c:v>2022年</c:v>
                </c:pt>
              </c:strCache>
            </c:strRef>
          </c:cat>
          <c:val>
            <c:numRef>
              <c:f>'[数据对比（柱状图等）2022年决算.xlsx]1'!$C$5:$C$6</c:f>
              <c:numCache>
                <c:formatCode>General</c:formatCode>
                <c:ptCount val="2"/>
                <c:pt idx="0">
                  <c:v>4287.42</c:v>
                </c:pt>
                <c:pt idx="1">
                  <c:v>3887.58</c:v>
                </c:pt>
              </c:numCache>
            </c:numRef>
          </c:val>
        </c:ser>
        <c:dLbls>
          <c:showLegendKey val="0"/>
          <c:showVal val="1"/>
          <c:showCatName val="0"/>
          <c:showSerName val="0"/>
          <c:showPercent val="0"/>
          <c:showBubbleSize val="0"/>
        </c:dLbls>
        <c:gapWidth val="219"/>
        <c:overlap val="-27"/>
        <c:axId val="314785792"/>
        <c:axId val="314787328"/>
      </c:barChart>
      <c:catAx>
        <c:axId val="314785792"/>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14787328"/>
        <c:crosses val="autoZero"/>
        <c:auto val="1"/>
        <c:lblAlgn val="ctr"/>
        <c:lblOffset val="100"/>
        <c:noMultiLvlLbl val="0"/>
      </c:catAx>
      <c:valAx>
        <c:axId val="314787328"/>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14785792"/>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000000"/>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w="12700" cmpd="sng">
              <a:solidFill>
                <a:srgbClr val="4F81BD"/>
              </a:solidFill>
              <a:prstDash val="solid"/>
            </a:ln>
            <a:sp3d contourW="12700"/>
          </c:spPr>
          <c:explosion val="0"/>
          <c:dPt>
            <c:idx val="0"/>
            <c:bubble3D val="0"/>
            <c:spPr>
              <a:solidFill>
                <a:srgbClr val="4F81BD"/>
              </a:solidFill>
              <a:ln w="12700" cmpd="sng">
                <a:solidFill>
                  <a:srgbClr val="4F81BD"/>
                </a:solidFill>
                <a:prstDash val="solid"/>
              </a:ln>
              <a:effectLst/>
              <a:sp3d contourW="12700"/>
            </c:spPr>
          </c:dPt>
          <c:dPt>
            <c:idx val="1"/>
            <c:bubble3D val="0"/>
            <c:spPr>
              <a:solidFill>
                <a:srgbClr val="C0504D"/>
              </a:solidFill>
              <a:ln w="12700" cmpd="sng">
                <a:solidFill>
                  <a:srgbClr val="4F81BD"/>
                </a:solidFill>
                <a:prstDash val="solid"/>
              </a:ln>
              <a:effectLst/>
              <a:sp3d contourW="12700"/>
            </c:spPr>
          </c:dPt>
          <c:dLbls>
            <c:numFmt formatCode="0.00%" sourceLinked="0"/>
            <c:spPr>
              <a:noFill/>
              <a:ln w="12700" cmpd="sng">
                <a:noFill/>
                <a:prstDash val="solid"/>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'[数据对比（柱状图等）2022年决算.xlsx]1'!$B$27:$B$28</c:f>
              <c:strCache>
                <c:ptCount val="2"/>
                <c:pt idx="0">
                  <c:v>一般公共预算财政拨款收入</c:v>
                </c:pt>
                <c:pt idx="1">
                  <c:v>事业收入</c:v>
                </c:pt>
              </c:strCache>
            </c:strRef>
          </c:cat>
          <c:val>
            <c:numRef>
              <c:f>'[数据对比（柱状图等）2022年决算.xlsx]1'!$C$27:$C$28</c:f>
              <c:numCache>
                <c:formatCode>General</c:formatCode>
                <c:ptCount val="2"/>
                <c:pt idx="0">
                  <c:v>2119.65</c:v>
                </c:pt>
                <c:pt idx="1">
                  <c:v>1548.87</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000000"/>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spPr>
              <a:solidFill>
                <a:srgbClr val="4F81BD"/>
              </a:solidFill>
              <a:ln>
                <a:noFill/>
              </a:ln>
              <a:effectLst/>
            </c:spPr>
          </c:dPt>
          <c:dPt>
            <c:idx val="1"/>
            <c:bubble3D val="0"/>
            <c:spPr>
              <a:solidFill>
                <a:srgbClr val="C0504D"/>
              </a:solidFill>
              <a:ln>
                <a:no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'[数据对比（柱状图等）2022年决算.xlsx]1'!$B$45:$B$46</c:f>
              <c:strCache>
                <c:ptCount val="2"/>
                <c:pt idx="0">
                  <c:v>基本支出</c:v>
                </c:pt>
                <c:pt idx="1">
                  <c:v>项目支出</c:v>
                </c:pt>
              </c:strCache>
            </c:strRef>
          </c:cat>
          <c:val>
            <c:numRef>
              <c:f>'[数据对比（柱状图等）2022年决算.xlsx]1'!$C$45:$C$46</c:f>
              <c:numCache>
                <c:formatCode>General</c:formatCode>
                <c:ptCount val="2"/>
                <c:pt idx="0">
                  <c:v>2511.18</c:v>
                </c:pt>
                <c:pt idx="1">
                  <c:v>1376.4</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12700" cap="flat" cmpd="sng" algn="ctr">
      <a:solidFill>
        <a:srgbClr val="000000"/>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lang="en-US" altLang="zh-CN"/>
              <a:t>                                                               </a:t>
            </a:r>
            <a:r>
              <a:rPr sz="900">
                <a:solidFill>
                  <a:srgbClr val="595959">
                    <a:lumMod val="65000"/>
                    <a:lumOff val="35000"/>
                  </a:srgbClr>
                </a:solidFill>
                <a:uFillTx/>
              </a:rPr>
              <a:t>单位：万元</a:t>
            </a:r>
            <a:endParaRPr sz="900">
              <a:solidFill>
                <a:srgbClr val="595959">
                  <a:lumMod val="65000"/>
                  <a:lumOff val="35000"/>
                </a:srgbClr>
              </a:solidFill>
              <a:uFillTx/>
            </a:endParaRPr>
          </a:p>
        </c:rich>
      </c:tx>
      <c:layout>
        <c:manualLayout>
          <c:xMode val="edge"/>
          <c:yMode val="edge"/>
          <c:x val="0.274305555555556"/>
          <c:y val="0.0243055555555556"/>
        </c:manualLayout>
      </c:layout>
      <c:overlay val="0"/>
      <c:spPr>
        <a:noFill/>
        <a:ln>
          <a:noFill/>
        </a:ln>
        <a:effectLst/>
      </c:spPr>
    </c:title>
    <c:autoTitleDeleted val="0"/>
    <c:plotArea>
      <c:layout/>
      <c:barChart>
        <c:barDir val="col"/>
        <c:grouping val="clustered"/>
        <c:varyColors val="0"/>
        <c:ser>
          <c:idx val="0"/>
          <c:order val="0"/>
          <c:tx>
            <c:strRef>
              <c:f>'[数据对比（柱状图等）2022年决算.xlsx]1'!$B$74</c:f>
              <c:strCache>
                <c:ptCount val="1"/>
                <c:pt idx="0">
                  <c:v>2021年</c:v>
                </c:pt>
              </c:strCache>
            </c:strRef>
          </c:tx>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'[数据对比（柱状图等）2022年决算.xlsx]1'!$C$73:$D$73</c:f>
              <c:strCache>
                <c:ptCount val="2"/>
                <c:pt idx="0">
                  <c:v>收入</c:v>
                </c:pt>
                <c:pt idx="1">
                  <c:v>支出</c:v>
                </c:pt>
              </c:strCache>
            </c:strRef>
          </c:cat>
          <c:val>
            <c:numRef>
              <c:f>'[数据对比（柱状图等）2022年决算.xlsx]1'!$C$74:$D$74</c:f>
              <c:numCache>
                <c:formatCode>General</c:formatCode>
                <c:ptCount val="2"/>
                <c:pt idx="0">
                  <c:v>2734.19</c:v>
                </c:pt>
                <c:pt idx="1">
                  <c:v>2734.19</c:v>
                </c:pt>
              </c:numCache>
            </c:numRef>
          </c:val>
        </c:ser>
        <c:ser>
          <c:idx val="1"/>
          <c:order val="1"/>
          <c:tx>
            <c:strRef>
              <c:f>'[数据对比（柱状图等）2022年决算.xlsx]1'!$B$75</c:f>
              <c:strCache>
                <c:ptCount val="1"/>
                <c:pt idx="0">
                  <c:v>2022年</c:v>
                </c:pt>
              </c:strCache>
            </c:strRef>
          </c:tx>
          <c:spPr>
            <a:solidFill>
              <a:srgbClr val="C0504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'[数据对比（柱状图等）2022年决算.xlsx]1'!$C$73:$D$73</c:f>
              <c:strCache>
                <c:ptCount val="2"/>
                <c:pt idx="0">
                  <c:v>收入</c:v>
                </c:pt>
                <c:pt idx="1">
                  <c:v>支出</c:v>
                </c:pt>
              </c:strCache>
            </c:strRef>
          </c:cat>
          <c:val>
            <c:numRef>
              <c:f>'[数据对比（柱状图等）2022年决算.xlsx]1'!$C$75:$D$75</c:f>
              <c:numCache>
                <c:formatCode>General</c:formatCode>
                <c:ptCount val="2"/>
                <c:pt idx="0">
                  <c:v>2119.65</c:v>
                </c:pt>
                <c:pt idx="1">
                  <c:v>2119.65</c:v>
                </c:pt>
              </c:numCache>
            </c:numRef>
          </c:val>
        </c:ser>
        <c:dLbls>
          <c:showLegendKey val="0"/>
          <c:showVal val="1"/>
          <c:showCatName val="0"/>
          <c:showSerName val="0"/>
          <c:showPercent val="0"/>
          <c:showBubbleSize val="0"/>
        </c:dLbls>
        <c:gapWidth val="158"/>
        <c:axId val="321691648"/>
        <c:axId val="321693184"/>
      </c:barChart>
      <c:catAx>
        <c:axId val="321691648"/>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21693184"/>
        <c:crosses val="autoZero"/>
        <c:auto val="1"/>
        <c:lblAlgn val="ctr"/>
        <c:lblOffset val="100"/>
        <c:noMultiLvlLbl val="0"/>
      </c:catAx>
      <c:valAx>
        <c:axId val="321693184"/>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21691648"/>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000000"/>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lang="en-US" altLang="zh-CN"/>
              <a:t>                                                      </a:t>
            </a:r>
            <a:r>
              <a:rPr lang="en-US" altLang="zh-CN" sz="1000">
                <a:solidFill>
                  <a:srgbClr val="595959">
                    <a:lumMod val="65000"/>
                    <a:lumOff val="35000"/>
                  </a:srgbClr>
                </a:solidFill>
                <a:uFillTx/>
              </a:rPr>
              <a:t>                        </a:t>
            </a:r>
            <a:r>
              <a:rPr sz="1000">
                <a:solidFill>
                  <a:srgbClr val="595959">
                    <a:lumMod val="65000"/>
                    <a:lumOff val="35000"/>
                  </a:srgbClr>
                </a:solidFill>
                <a:uFillTx/>
              </a:rPr>
              <a:t>单位：万元</a:t>
            </a:r>
            <a:endParaRPr sz="1000">
              <a:solidFill>
                <a:srgbClr val="595959">
                  <a:lumMod val="65000"/>
                  <a:lumOff val="35000"/>
                </a:srgbClr>
              </a:solidFill>
              <a:uFillTx/>
            </a:endParaRPr>
          </a:p>
        </c:rich>
      </c:tx>
      <c:layout>
        <c:manualLayout>
          <c:xMode val="edge"/>
          <c:yMode val="edge"/>
          <c:x val="0.218055555555556"/>
          <c:y val="0.0381944444444444"/>
        </c:manualLayout>
      </c:layout>
      <c:overlay val="0"/>
      <c:spPr>
        <a:noFill/>
        <a:ln>
          <a:noFill/>
        </a:ln>
        <a:effectLst/>
      </c:spPr>
    </c:title>
    <c:autoTitleDeleted val="0"/>
    <c:plotArea>
      <c:layout/>
      <c:barChart>
        <c:barDir val="col"/>
        <c:grouping val="clustered"/>
        <c:varyColors val="0"/>
        <c:ser>
          <c:idx val="0"/>
          <c:order val="0"/>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'[数据对比（柱状图等）2022年决算.xlsx]1'!$B$5:$B$6</c:f>
              <c:strCache>
                <c:ptCount val="2"/>
                <c:pt idx="0">
                  <c:v>2021年</c:v>
                </c:pt>
                <c:pt idx="1">
                  <c:v>2022年</c:v>
                </c:pt>
              </c:strCache>
            </c:strRef>
          </c:cat>
          <c:val>
            <c:numRef>
              <c:f>'[数据对比（柱状图等）2022年决算.xlsx]1'!$C$5:$C$6</c:f>
              <c:numCache>
                <c:formatCode>General</c:formatCode>
                <c:ptCount val="2"/>
                <c:pt idx="0">
                  <c:v>2734.19</c:v>
                </c:pt>
                <c:pt idx="1">
                  <c:v>2119.65</c:v>
                </c:pt>
              </c:numCache>
            </c:numRef>
          </c:val>
        </c:ser>
        <c:dLbls>
          <c:showLegendKey val="0"/>
          <c:showVal val="1"/>
          <c:showCatName val="0"/>
          <c:showSerName val="0"/>
          <c:showPercent val="0"/>
          <c:showBubbleSize val="0"/>
        </c:dLbls>
        <c:gapWidth val="219"/>
        <c:overlap val="-27"/>
        <c:axId val="355210752"/>
        <c:axId val="355212288"/>
      </c:barChart>
      <c:catAx>
        <c:axId val="355210752"/>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55212288"/>
        <c:crosses val="autoZero"/>
        <c:auto val="1"/>
        <c:lblAlgn val="ctr"/>
        <c:lblOffset val="100"/>
        <c:noMultiLvlLbl val="0"/>
      </c:catAx>
      <c:valAx>
        <c:axId val="355212288"/>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55210752"/>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000000"/>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explosion val="0"/>
          <c:dPt>
            <c:idx val="0"/>
            <c:bubble3D val="0"/>
            <c:spPr>
              <a:solidFill>
                <a:srgbClr val="4F81BD"/>
              </a:solidFill>
              <a:ln w="25400">
                <a:solidFill>
                  <a:srgbClr val="FFFFFF"/>
                </a:solidFill>
              </a:ln>
              <a:effectLst/>
            </c:spPr>
          </c:dPt>
          <c:dPt>
            <c:idx val="1"/>
            <c:bubble3D val="0"/>
            <c:spPr>
              <a:solidFill>
                <a:srgbClr val="C0504D"/>
              </a:solidFill>
              <a:ln w="25400">
                <a:solidFill>
                  <a:srgbClr val="FFFFFF"/>
                </a:solidFill>
              </a:ln>
              <a:effectLst/>
            </c:spPr>
          </c:dPt>
          <c:dPt>
            <c:idx val="2"/>
            <c:bubble3D val="0"/>
            <c:spPr>
              <a:solidFill>
                <a:srgbClr val="9BBB59"/>
              </a:solidFill>
              <a:ln w="25400">
                <a:solidFill>
                  <a:srgbClr val="FFFFFF"/>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rgbClr val="404040">
                            <a:lumMod val="75000"/>
                            <a:lumOff val="25000"/>
                          </a:srgbClr>
                        </a:solidFill>
                        <a:latin typeface="+mn-lt"/>
                        <a:ea typeface="+mn-ea"/>
                        <a:cs typeface="+mn-cs"/>
                      </a:defRPr>
                    </a:pPr>
                    <a:r>
                      <a:t>社会保障和就业支出 79.71%</a:t>
                    </a:r>
                  </a:p>
                </c:rich>
              </c:tx>
              <c:numFmt formatCode="0.00%" sourceLinked="0"/>
              <c:spPr>
                <a:solidFill>
                  <a:sysClr val="window" lastClr="FFFFF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0521979440069991"/>
                  <c:y val="-0.0066086646576585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752314085739283"/>
                  <c:y val="0.0010288065843621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'[数据对比（柱状图等）2022年决算.xlsx]1'!$B$116:$B$118</c:f>
              <c:strCache>
                <c:ptCount val="3"/>
                <c:pt idx="0">
                  <c:v>社会保障和就业支出</c:v>
                </c:pt>
                <c:pt idx="1">
                  <c:v>卫生健康支出</c:v>
                </c:pt>
                <c:pt idx="2">
                  <c:v>住房保障支出</c:v>
                </c:pt>
              </c:strCache>
            </c:strRef>
          </c:cat>
          <c:val>
            <c:numRef>
              <c:f>'[数据对比（柱状图等）2022年决算.xlsx]1'!$C$116:$C$118</c:f>
              <c:numCache>
                <c:formatCode>General</c:formatCode>
                <c:ptCount val="3"/>
                <c:pt idx="0">
                  <c:v>1689.65</c:v>
                </c:pt>
                <c:pt idx="1">
                  <c:v>330</c:v>
                </c:pt>
                <c:pt idx="2">
                  <c:v>100</c:v>
                </c:pt>
              </c:numCache>
            </c:numRef>
          </c:val>
        </c:ser>
        <c:ser>
          <c:idx val="1"/>
          <c:order val="1"/>
          <c:explosion val="0"/>
          <c:dPt>
            <c:idx val="0"/>
            <c:bubble3D val="0"/>
            <c:spPr>
              <a:solidFill>
                <a:srgbClr val="4F81BD"/>
              </a:solidFill>
              <a:ln w="25400">
                <a:solidFill>
                  <a:srgbClr val="FFFFFF"/>
                </a:solidFill>
              </a:ln>
              <a:effectLst/>
            </c:spPr>
          </c:dPt>
          <c:dPt>
            <c:idx val="1"/>
            <c:bubble3D val="0"/>
            <c:spPr>
              <a:solidFill>
                <a:srgbClr val="C0504D"/>
              </a:solidFill>
              <a:ln w="25400">
                <a:solidFill>
                  <a:srgbClr val="FFFFFF"/>
                </a:solidFill>
              </a:ln>
              <a:effectLst/>
            </c:spPr>
          </c:dPt>
          <c:dPt>
            <c:idx val="2"/>
            <c:bubble3D val="0"/>
            <c:spPr>
              <a:solidFill>
                <a:srgbClr val="9BBB59"/>
              </a:solidFill>
              <a:ln w="2540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'[数据对比（柱状图等）2022年决算.xlsx]1'!$B$116:$B$118</c:f>
              <c:strCache>
                <c:ptCount val="3"/>
                <c:pt idx="0">
                  <c:v>社会保障和就业支出</c:v>
                </c:pt>
                <c:pt idx="1">
                  <c:v>卫生健康支出</c:v>
                </c:pt>
                <c:pt idx="2">
                  <c:v>住房保障支出</c:v>
                </c:pt>
              </c:strCache>
            </c:strRef>
          </c:cat>
          <c:val>
            <c:numRef>
              <c:f>'[数据对比（柱状图等）2022年决算.xlsx]1'!$D$116:$D$118</c:f>
              <c:numCache>
                <c:formatCode>0.000%</c:formatCode>
                <c:ptCount val="3"/>
                <c:pt idx="0">
                  <c:v>0.797136319675418</c:v>
                </c:pt>
                <c:pt idx="1">
                  <c:v>0.155686080249098</c:v>
                </c:pt>
                <c:pt idx="2">
                  <c:v>0.0471776000754842</c:v>
                </c:pt>
              </c:numCache>
            </c:numRef>
          </c:val>
        </c:ser>
        <c:dLbls>
          <c:showLegendKey val="0"/>
          <c:showVal val="0"/>
          <c:showCatName val="1"/>
          <c:showSerName val="0"/>
          <c:showPercent val="1"/>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000000"/>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explosion val="0"/>
          <c:dPt>
            <c:idx val="0"/>
            <c:bubble3D val="0"/>
            <c:spPr>
              <a:solidFill>
                <a:srgbClr val="4F81BD"/>
              </a:solidFill>
              <a:ln>
                <a:noFill/>
              </a:ln>
              <a:effectLst/>
            </c:spPr>
          </c:dPt>
          <c:dPt>
            <c:idx val="1"/>
            <c:bubble3D val="0"/>
            <c:spPr>
              <a:solidFill>
                <a:srgbClr val="C0504D"/>
              </a:solidFill>
              <a:ln>
                <a:noFill/>
              </a:ln>
              <a:effectLst/>
            </c:spPr>
          </c:dPt>
          <c:dPt>
            <c:idx val="2"/>
            <c:bubble3D val="0"/>
            <c:spPr>
              <a:solidFill>
                <a:srgbClr val="9BBB59"/>
              </a:solidFill>
              <a:ln>
                <a:noFill/>
              </a:ln>
              <a:effectLst/>
            </c:spPr>
          </c:dPt>
          <c:dLbls>
            <c:dLbl>
              <c:idx val="0"/>
              <c:layout>
                <c:manualLayout>
                  <c:x val="-0.166666666666667"/>
                  <c:y val="0.020833333333333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36111111111111"/>
                      <c:h val="0.146527777777778"/>
                    </c:manualLayout>
                  </c15:layout>
                </c:ext>
              </c:extLst>
            </c:dLbl>
            <c:dLbl>
              <c:idx val="1"/>
              <c:layout>
                <c:manualLayout>
                  <c:x val="0.341666666666668"/>
                  <c:y val="-0.03125"/>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214583333333333"/>
                  <c:y val="0.020833333333333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'[数据对比（柱状图等）2022年决算.xlsx]1'!$B$136:$B$138</c:f>
              <c:strCache>
                <c:ptCount val="3"/>
                <c:pt idx="0">
                  <c:v>因公出国（境）费</c:v>
                </c:pt>
                <c:pt idx="1">
                  <c:v>公务用车购置及运行维护费</c:v>
                </c:pt>
                <c:pt idx="2">
                  <c:v>公务接待费</c:v>
                </c:pt>
              </c:strCache>
            </c:strRef>
          </c:cat>
          <c:val>
            <c:numRef>
              <c:f>'[数据对比（柱状图等）2022年决算.xlsx]1'!$C$136:$C$138</c:f>
              <c:numCache>
                <c:formatCode>General</c:formatCode>
                <c:ptCount val="3"/>
                <c:pt idx="0">
                  <c:v>0</c:v>
                </c:pt>
                <c:pt idx="1">
                  <c:v>6</c:v>
                </c:pt>
                <c:pt idx="2">
                  <c:v>0</c:v>
                </c:pt>
              </c:numCache>
            </c:numRef>
          </c:val>
        </c:ser>
        <c:dLbls>
          <c:showLegendKey val="0"/>
          <c:showVal val="0"/>
          <c:showCatName val="1"/>
          <c:showSerName val="0"/>
          <c:showPercent val="1"/>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000000"/>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28</Pages>
  <Words>2080</Words>
  <Characters>11860</Characters>
  <Lines>98</Lines>
  <Paragraphs>27</Paragraphs>
  <TotalTime>5</TotalTime>
  <ScaleCrop>false</ScaleCrop>
  <LinksUpToDate>false</LinksUpToDate>
  <CharactersWithSpaces>13913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WPS_1666160921</cp:lastModifiedBy>
  <cp:lastPrinted>2023-07-31T02:35:00Z</cp:lastPrinted>
  <dcterms:modified xsi:type="dcterms:W3CDTF">2023-09-07T02:34:05Z</dcterms:modified>
  <dc:title>四川省***</dc:title>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1EC1416786E640FFA73909D63E1AA1D1_13</vt:lpwstr>
  </property>
</Properties>
</file>