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A1E4A">
      <w:pPr>
        <w:pStyle w:val="9"/>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425"/>
      <w:bookmarkStart w:id="2" w:name="_Toc15378441"/>
      <w:bookmarkStart w:id="3" w:name="_Toc15396475"/>
      <w:bookmarkStart w:id="4" w:name="_Toc15377193"/>
      <w:bookmarkStart w:id="5" w:name="_Toc15306267"/>
    </w:p>
    <w:p w14:paraId="489F7A9C">
      <w:pPr>
        <w:pStyle w:val="9"/>
        <w:rPr>
          <w:rFonts w:hint="eastAsia" w:ascii="Times New Roman" w:hAnsi="Times New Roman" w:eastAsia="方正小标宋简体" w:cs="Times New Roman"/>
          <w:color w:val="auto"/>
          <w:kern w:val="2"/>
          <w:sz w:val="72"/>
          <w:szCs w:val="72"/>
          <w:highlight w:val="none"/>
          <w:lang w:val="en-US" w:eastAsia="zh-CN" w:bidi="ar-SA"/>
        </w:rPr>
      </w:pPr>
    </w:p>
    <w:p w14:paraId="37BC883E">
      <w:pPr>
        <w:pStyle w:val="9"/>
        <w:rPr>
          <w:rFonts w:hint="eastAsia" w:ascii="Times New Roman" w:hAnsi="Times New Roman" w:eastAsia="方正小标宋简体" w:cs="Times New Roman"/>
          <w:color w:val="auto"/>
          <w:kern w:val="2"/>
          <w:sz w:val="72"/>
          <w:szCs w:val="72"/>
          <w:highlight w:val="none"/>
          <w:lang w:val="en-US" w:eastAsia="zh-CN" w:bidi="ar-SA"/>
        </w:rPr>
      </w:pPr>
    </w:p>
    <w:p w14:paraId="021B1A60">
      <w:pPr>
        <w:pStyle w:val="9"/>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w:t>
      </w:r>
      <w:r>
        <w:rPr>
          <w:rFonts w:hint="eastAsia" w:ascii="Times New Roman" w:hAnsi="Times New Roman" w:eastAsia="方正小标宋简体" w:cs="Times New Roman"/>
          <w:color w:val="auto"/>
          <w:kern w:val="2"/>
          <w:sz w:val="44"/>
          <w:szCs w:val="44"/>
          <w:highlight w:val="none"/>
          <w:lang w:val="en-US" w:eastAsia="zh-CN" w:bidi="ar-SA"/>
        </w:rPr>
        <w:t>省</w:t>
      </w:r>
      <w:r>
        <w:rPr>
          <w:rFonts w:hint="eastAsia" w:ascii="Times New Roman" w:eastAsia="方正小标宋简体" w:cs="Times New Roman"/>
          <w:color w:val="auto"/>
          <w:kern w:val="2"/>
          <w:sz w:val="44"/>
          <w:szCs w:val="44"/>
          <w:highlight w:val="none"/>
          <w:lang w:val="en-US" w:eastAsia="zh-CN" w:bidi="ar-SA"/>
        </w:rPr>
        <w:t>第三退役军人医院</w:t>
      </w:r>
    </w:p>
    <w:p w14:paraId="0FEF683B">
      <w:pPr>
        <w:pStyle w:val="9"/>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（四川省退役军人康复中心、</w:t>
      </w:r>
    </w:p>
    <w:p w14:paraId="36549AFE">
      <w:pPr>
        <w:pStyle w:val="9"/>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四川省第三荣军优抚医院）</w:t>
      </w:r>
    </w:p>
    <w:p w14:paraId="516F10E8">
      <w:pPr>
        <w:pStyle w:val="9"/>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u w:val="none"/>
          <w:lang w:val="en-US" w:eastAsia="zh-CN" w:bidi="ar-SA"/>
        </w:rPr>
        <w:t>单位</w:t>
      </w:r>
      <w:r>
        <w:rPr>
          <w:rFonts w:hint="eastAsia" w:ascii="Times New Roman" w:hAnsi="Times New Roman" w:eastAsia="方正小标宋简体" w:cs="Times New Roman"/>
          <w:color w:val="auto"/>
          <w:kern w:val="2"/>
          <w:sz w:val="44"/>
          <w:szCs w:val="44"/>
          <w:highlight w:val="none"/>
          <w:lang w:val="en-US" w:eastAsia="zh-CN" w:bidi="ar-SA"/>
        </w:rPr>
        <w:t>决算</w:t>
      </w:r>
    </w:p>
    <w:p w14:paraId="11CA5C74">
      <w:pPr>
        <w:pStyle w:val="20"/>
        <w:rPr>
          <w:rFonts w:ascii="Times New Roman" w:hAnsi="Times New Roman"/>
          <w:highlight w:val="none"/>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638E8733">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60188"/>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2AD881ED">
          <w:pPr>
            <w:spacing w:before="0" w:beforeLines="0" w:after="0" w:afterLines="0" w:line="240" w:lineRule="auto"/>
            <w:ind w:left="0" w:leftChars="0" w:right="0" w:rightChars="0" w:firstLine="0" w:firstLineChars="0"/>
            <w:jc w:val="center"/>
            <w:rPr>
              <w:rFonts w:ascii="宋体" w:hAnsi="宋体" w:eastAsia="宋体"/>
              <w:sz w:val="21"/>
            </w:rPr>
          </w:pPr>
          <w:r>
            <w:rPr>
              <w:rFonts w:hint="eastAsia" w:ascii="黑体" w:hAnsi="黑体" w:eastAsia="黑体" w:cs="黑体"/>
              <w:sz w:val="48"/>
              <w:szCs w:val="48"/>
            </w:rPr>
            <w:t>目录</w:t>
          </w:r>
        </w:p>
        <w:p w14:paraId="7C50F05B">
          <w:pPr>
            <w:spacing w:before="0" w:beforeLines="0" w:after="0" w:afterLines="0" w:line="240" w:lineRule="auto"/>
            <w:ind w:left="0" w:leftChars="0" w:right="0" w:rightChars="0" w:firstLine="0" w:firstLineChars="0"/>
            <w:jc w:val="center"/>
            <w:rPr>
              <w:rFonts w:ascii="宋体" w:hAnsi="宋体" w:eastAsia="宋体"/>
              <w:sz w:val="21"/>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12</w:t>
          </w:r>
          <w:r>
            <w:rPr>
              <w:rFonts w:hint="eastAsia" w:ascii="Times New Roman" w:hAnsi="Times New Roman" w:eastAsia="仿宋_GB2312" w:cs="仿宋_GB2312"/>
              <w:color w:val="auto"/>
              <w:sz w:val="32"/>
              <w:szCs w:val="32"/>
              <w:highlight w:val="none"/>
            </w:rPr>
            <w:t>日</w:t>
          </w:r>
        </w:p>
        <w:p w14:paraId="200B0A21">
          <w:pPr>
            <w:pStyle w:val="14"/>
            <w:tabs>
              <w:tab w:val="right" w:leader="dot" w:pos="8306"/>
              <w:tab w:val="clear" w:pos="8296"/>
            </w:tabs>
            <w:rPr>
              <w:rFonts w:hint="eastAsia" w:ascii="Times New Roman" w:hAnsi="Times New Roman" w:eastAsia="黑体" w:cs="黑体"/>
              <w:color w:val="auto"/>
              <w:sz w:val="32"/>
              <w:szCs w:val="32"/>
              <w:highlight w:val="none"/>
              <w:lang w:val="en-US" w:eastAsia="zh-CN"/>
            </w:rPr>
          </w:pPr>
          <w:r>
            <w:fldChar w:fldCharType="begin"/>
          </w:r>
          <w:r>
            <w:instrText xml:space="preserve">TOC \o "1-2" \h \u </w:instrText>
          </w:r>
          <w:r>
            <w:fldChar w:fldCharType="separate"/>
          </w: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HYPERLINK \l _Toc23512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第一部分 单位概况</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PAGEREF _Toc23512 \h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 xml:space="preserve"> 4 </w:t>
          </w:r>
          <w:r>
            <w:rPr>
              <w:rFonts w:hint="eastAsia" w:ascii="Times New Roman" w:hAnsi="Times New Roman" w:eastAsia="黑体" w:cs="黑体"/>
              <w:color w:val="auto"/>
              <w:sz w:val="32"/>
              <w:szCs w:val="32"/>
              <w:highlight w:val="none"/>
              <w:lang w:val="en-US" w:eastAsia="zh-CN"/>
            </w:rPr>
            <w:fldChar w:fldCharType="end"/>
          </w:r>
          <w:r>
            <w:rPr>
              <w:rFonts w:hint="eastAsia" w:ascii="Times New Roman" w:hAnsi="Times New Roman" w:eastAsia="黑体" w:cs="黑体"/>
              <w:color w:val="auto"/>
              <w:sz w:val="32"/>
              <w:szCs w:val="32"/>
              <w:highlight w:val="none"/>
              <w:lang w:val="en-US" w:eastAsia="zh-CN"/>
            </w:rPr>
            <w:fldChar w:fldCharType="end"/>
          </w:r>
        </w:p>
        <w:p w14:paraId="364A4F4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_Toc18412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一、单位职责</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_Toc18412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4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4527566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_Toc31940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二、机构设置</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_Toc31940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4</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42A8F531">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HYPERLINK \l _Toc15794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第二部分 2024年度单位决算情况说明</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PAGEREF _Toc15794 \h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5</w:t>
          </w:r>
          <w:r>
            <w:rPr>
              <w:rFonts w:hint="eastAsia" w:ascii="Times New Roman" w:hAnsi="Times New Roman" w:eastAsia="黑体" w:cs="黑体"/>
              <w:color w:val="auto"/>
              <w:sz w:val="32"/>
              <w:szCs w:val="32"/>
              <w:highlight w:val="none"/>
              <w:lang w:val="en-US" w:eastAsia="zh-CN"/>
            </w:rPr>
            <w:fldChar w:fldCharType="end"/>
          </w:r>
          <w:r>
            <w:rPr>
              <w:rFonts w:hint="eastAsia" w:ascii="Times New Roman" w:hAnsi="Times New Roman" w:eastAsia="黑体" w:cs="黑体"/>
              <w:color w:val="auto"/>
              <w:sz w:val="32"/>
              <w:szCs w:val="32"/>
              <w:highlight w:val="none"/>
              <w:lang w:val="en-US" w:eastAsia="zh-CN"/>
            </w:rPr>
            <w:fldChar w:fldCharType="end"/>
          </w:r>
        </w:p>
        <w:p w14:paraId="63F8038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_Toc15476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一、收入支出决算总体情况说明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_Toc15476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5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7C93603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_Toc19099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二、收入决算情况说明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_Toc19099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5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2AC3DBC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_Toc5459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三、支出决算情况说明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_Toc5459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6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678D3A4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_Toc25183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四、财政拨款收入支出决算总体情况说明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_Toc25183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6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76B5A23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_Toc25516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五、一般公共预算财政拨款支出决算情况说明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_Toc25516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2F30CBF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_Toc11946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六、一般公共预算财政拨款基本支出决算情况说明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_Toc11946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10</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09B8418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_Toc10404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七、财政拨款“三公”经费支出决算情况说明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_Toc10404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10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095C06B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_Toc2441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八、政府性基金预算支出决算情况说明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_Toc2441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11</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1599DA5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_Toc6992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九、国有资本经营预算支出决算情况说明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_Toc6992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11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2F2C627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_Toc9673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十、其他重要事项的情况说明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_Toc9673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12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731105DE">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HYPERLINK \l _Toc28513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第三部分 名词解释</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PAGEREF _Toc28513 \h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14</w:t>
          </w:r>
          <w:r>
            <w:rPr>
              <w:rFonts w:hint="eastAsia" w:ascii="Times New Roman" w:hAnsi="Times New Roman" w:eastAsia="黑体" w:cs="黑体"/>
              <w:color w:val="auto"/>
              <w:sz w:val="32"/>
              <w:szCs w:val="32"/>
              <w:highlight w:val="none"/>
              <w:lang w:val="en-US" w:eastAsia="zh-CN"/>
            </w:rPr>
            <w:fldChar w:fldCharType="end"/>
          </w:r>
          <w:r>
            <w:rPr>
              <w:rFonts w:hint="eastAsia" w:ascii="Times New Roman" w:hAnsi="Times New Roman" w:eastAsia="黑体" w:cs="黑体"/>
              <w:color w:val="auto"/>
              <w:sz w:val="32"/>
              <w:szCs w:val="32"/>
              <w:highlight w:val="none"/>
              <w:lang w:val="en-US" w:eastAsia="zh-CN"/>
            </w:rPr>
            <w:fldChar w:fldCharType="end"/>
          </w:r>
        </w:p>
        <w:p w14:paraId="7C594190">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HYPERLINK \l _Toc7747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第四部分 附件</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PAGEREF _Toc7747 \h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 xml:space="preserve">17 </w:t>
          </w:r>
          <w:r>
            <w:rPr>
              <w:rFonts w:hint="eastAsia" w:ascii="Times New Roman" w:hAnsi="Times New Roman" w:eastAsia="黑体" w:cs="黑体"/>
              <w:color w:val="auto"/>
              <w:sz w:val="32"/>
              <w:szCs w:val="32"/>
              <w:highlight w:val="none"/>
              <w:lang w:val="en-US" w:eastAsia="zh-CN"/>
            </w:rPr>
            <w:fldChar w:fldCharType="end"/>
          </w:r>
          <w:r>
            <w:rPr>
              <w:rFonts w:hint="eastAsia" w:ascii="Times New Roman" w:hAnsi="Times New Roman" w:eastAsia="黑体" w:cs="黑体"/>
              <w:color w:val="auto"/>
              <w:sz w:val="32"/>
              <w:szCs w:val="32"/>
              <w:highlight w:val="none"/>
              <w:lang w:val="en-US" w:eastAsia="zh-CN"/>
            </w:rPr>
            <w:fldChar w:fldCharType="end"/>
          </w:r>
        </w:p>
        <w:p w14:paraId="6BB9B168">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pP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HYPERLINK \l _Toc23182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第五部分 附表</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fldChar w:fldCharType="begin"/>
          </w:r>
          <w:r>
            <w:rPr>
              <w:rFonts w:hint="eastAsia" w:ascii="Times New Roman" w:hAnsi="Times New Roman" w:eastAsia="黑体" w:cs="黑体"/>
              <w:color w:val="auto"/>
              <w:sz w:val="32"/>
              <w:szCs w:val="32"/>
              <w:highlight w:val="none"/>
              <w:lang w:val="en-US" w:eastAsia="zh-CN"/>
            </w:rPr>
            <w:instrText xml:space="preserve"> PAGEREF _Toc23182 \h </w:instrText>
          </w:r>
          <w:r>
            <w:rPr>
              <w:rFonts w:hint="eastAsia" w:ascii="Times New Roman" w:hAnsi="Times New Roman" w:eastAsia="黑体" w:cs="黑体"/>
              <w:color w:val="auto"/>
              <w:sz w:val="32"/>
              <w:szCs w:val="32"/>
              <w:highlight w:val="none"/>
              <w:lang w:val="en-US" w:eastAsia="zh-CN"/>
            </w:rPr>
            <w:fldChar w:fldCharType="separate"/>
          </w:r>
          <w:r>
            <w:rPr>
              <w:rFonts w:hint="eastAsia" w:ascii="Times New Roman" w:hAnsi="Times New Roman" w:eastAsia="黑体" w:cs="黑体"/>
              <w:color w:val="auto"/>
              <w:sz w:val="32"/>
              <w:szCs w:val="32"/>
              <w:highlight w:val="none"/>
              <w:lang w:val="en-US" w:eastAsia="zh-CN"/>
            </w:rPr>
            <w:t xml:space="preserve">37 </w:t>
          </w:r>
          <w:r>
            <w:rPr>
              <w:rFonts w:hint="eastAsia" w:ascii="Times New Roman" w:hAnsi="Times New Roman" w:eastAsia="黑体" w:cs="黑体"/>
              <w:color w:val="auto"/>
              <w:sz w:val="32"/>
              <w:szCs w:val="32"/>
              <w:highlight w:val="none"/>
              <w:lang w:val="en-US" w:eastAsia="zh-CN"/>
            </w:rPr>
            <w:fldChar w:fldCharType="end"/>
          </w:r>
          <w:r>
            <w:rPr>
              <w:rFonts w:hint="eastAsia" w:ascii="Times New Roman" w:hAnsi="Times New Roman" w:eastAsia="黑体" w:cs="黑体"/>
              <w:color w:val="auto"/>
              <w:sz w:val="32"/>
              <w:szCs w:val="32"/>
              <w:highlight w:val="none"/>
              <w:lang w:val="en-US" w:eastAsia="zh-CN"/>
            </w:rPr>
            <w:fldChar w:fldCharType="end"/>
          </w:r>
        </w:p>
        <w:p w14:paraId="265072C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_Toc18185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一、收入支出决算总表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_Toc18185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4B239AD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_Toc26868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二、收入决算表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_Toc26868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03F110D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_Toc10960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三、支出决算表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_Toc10960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4B06B4C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_Toc5460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四、财政拨款收入支出决算总表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_Toc5460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390BFD4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_Toc4268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五、财政拨款支出决算明细表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_Toc4268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5D50000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_Toc19558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六、一般公共预算财政拨款支出决算表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_Toc19558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36613BA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_Toc13476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七、一般公共预算财政拨款支出决算明细表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_Toc13476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 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0362974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_Toc31640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八、一般公共预算财政拨款基本支出决算明细表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_Toc31640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2D5B124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_Toc29157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九、一般公共预算财政拨款项目支出决算表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_Toc29157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06A6EF7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_Toc3825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十、政府性基金预算财政拨款收入支出决算表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_Toc3825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37</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40BC461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HYPERLINK \l _Toc21412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十一、国有资本经营预算财政拨款收入支出决算表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fldChar w:fldCharType="begin"/>
          </w:r>
          <w:r>
            <w:rPr>
              <w:rFonts w:hint="eastAsia" w:eastAsia="仿宋_GB2312" w:cs="仿宋_GB2312"/>
              <w:color w:val="auto"/>
              <w:sz w:val="32"/>
              <w:szCs w:val="32"/>
              <w:highlight w:val="none"/>
              <w:lang w:val="en-US" w:eastAsia="zh-CN"/>
            </w:rPr>
            <w:instrText xml:space="preserve"> PAGEREF _Toc21412 \h </w:instrText>
          </w:r>
          <w:r>
            <w:rPr>
              <w:rFonts w:hint="eastAsia" w:eastAsia="仿宋_GB2312" w:cs="仿宋_GB2312"/>
              <w:color w:val="auto"/>
              <w:sz w:val="32"/>
              <w:szCs w:val="32"/>
              <w:highlight w:val="none"/>
              <w:lang w:val="en-US" w:eastAsia="zh-CN"/>
            </w:rPr>
            <w:fldChar w:fldCharType="separate"/>
          </w:r>
          <w:r>
            <w:rPr>
              <w:rFonts w:hint="eastAsia" w:eastAsia="仿宋_GB2312" w:cs="仿宋_GB2312"/>
              <w:color w:val="auto"/>
              <w:sz w:val="32"/>
              <w:szCs w:val="32"/>
              <w:highlight w:val="none"/>
              <w:lang w:val="en-US" w:eastAsia="zh-CN"/>
            </w:rPr>
            <w:t xml:space="preserve">37 </w:t>
          </w:r>
          <w:r>
            <w:rPr>
              <w:rFonts w:hint="eastAsia" w:eastAsia="仿宋_GB2312" w:cs="仿宋_GB2312"/>
              <w:color w:val="auto"/>
              <w:sz w:val="32"/>
              <w:szCs w:val="32"/>
              <w:highlight w:val="none"/>
              <w:lang w:val="en-US" w:eastAsia="zh-CN"/>
            </w:rPr>
            <w:fldChar w:fldCharType="end"/>
          </w:r>
          <w:r>
            <w:rPr>
              <w:rFonts w:hint="eastAsia" w:eastAsia="仿宋_GB2312" w:cs="仿宋_GB2312"/>
              <w:color w:val="auto"/>
              <w:sz w:val="32"/>
              <w:szCs w:val="32"/>
              <w:highlight w:val="none"/>
              <w:lang w:val="en-US" w:eastAsia="zh-CN"/>
            </w:rPr>
            <w:fldChar w:fldCharType="end"/>
          </w:r>
        </w:p>
        <w:p w14:paraId="34961AE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_Toc7926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eastAsia="zh-CN"/>
            </w:rPr>
            <w:t>国有资本经营预算财政拨款支出决算表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_Toc7926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w:t>
          </w:r>
          <w:r>
            <w:rPr>
              <w:rFonts w:hint="eastAsia" w:eastAsia="仿宋_GB2312" w:cs="仿宋_GB2312"/>
              <w:color w:val="auto"/>
              <w:sz w:val="32"/>
              <w:szCs w:val="32"/>
              <w:highlight w:val="none"/>
              <w:lang w:val="en-US" w:eastAsia="zh-CN"/>
            </w:rPr>
            <w:t>7</w:t>
          </w:r>
          <w:r>
            <w:rPr>
              <w:rFonts w:hint="eastAsia" w:ascii="Times New Roman" w:hAnsi="Times New Roman" w:eastAsia="仿宋_GB2312" w:cs="仿宋_GB2312"/>
              <w:color w:val="auto"/>
              <w:sz w:val="32"/>
              <w:szCs w:val="32"/>
              <w:highlight w:val="none"/>
            </w:rPr>
            <w:t xml:space="preserve"> </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E8598A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_Toc27114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十三、</w:t>
          </w:r>
          <w:r>
            <w:rPr>
              <w:rFonts w:hint="eastAsia" w:ascii="Times New Roman" w:hAnsi="Times New Roman" w:eastAsia="仿宋_GB2312" w:cs="仿宋_GB2312"/>
              <w:color w:val="auto"/>
              <w:sz w:val="32"/>
              <w:szCs w:val="32"/>
              <w:highlight w:val="none"/>
              <w:lang w:eastAsia="zh-CN"/>
            </w:rPr>
            <w:t>财政拨款“三公”经费支出决算表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_Toc27114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w:t>
          </w:r>
          <w:r>
            <w:rPr>
              <w:rFonts w:hint="eastAsia" w:eastAsia="仿宋_GB2312" w:cs="仿宋_GB2312"/>
              <w:color w:val="auto"/>
              <w:sz w:val="32"/>
              <w:szCs w:val="32"/>
              <w:highlight w:val="none"/>
              <w:lang w:val="en-US" w:eastAsia="zh-CN"/>
            </w:rPr>
            <w:t>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B842955">
          <w:r>
            <w:fldChar w:fldCharType="end"/>
          </w:r>
        </w:p>
      </w:sdtContent>
    </w:sdt>
    <w:p w14:paraId="33BCCD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eastAsia" w:ascii="Times New Roman" w:hAnsi="Times New Roman" w:eastAsia="仿宋_GB2312" w:cs="仿宋_GB2312"/>
          <w:color w:val="auto"/>
          <w:sz w:val="32"/>
          <w:szCs w:val="32"/>
          <w:highlight w:val="none"/>
        </w:rPr>
      </w:pPr>
    </w:p>
    <w:p w14:paraId="0FDF7C92">
      <w:pPr>
        <w:rPr>
          <w:rFonts w:hint="eastAsia" w:ascii="Times New Roman" w:hAnsi="Times New Roman" w:eastAsia="仿宋_GB2312" w:cs="仿宋_GB2312"/>
          <w:color w:val="auto"/>
          <w:sz w:val="32"/>
          <w:szCs w:val="32"/>
          <w:highlight w:val="none"/>
        </w:rPr>
      </w:pPr>
    </w:p>
    <w:p w14:paraId="25C6353E">
      <w:pPr>
        <w:rPr>
          <w:rFonts w:hint="eastAsia" w:ascii="Times New Roman" w:hAnsi="Times New Roman" w:eastAsia="仿宋_GB2312" w:cs="仿宋_GB2312"/>
          <w:color w:val="auto"/>
          <w:sz w:val="32"/>
          <w:szCs w:val="32"/>
          <w:highlight w:val="none"/>
        </w:rPr>
      </w:pPr>
    </w:p>
    <w:p w14:paraId="5A2302E9">
      <w:pPr>
        <w:rPr>
          <w:rFonts w:hint="eastAsia" w:ascii="Times New Roman" w:hAnsi="Times New Roman" w:eastAsia="仿宋_GB2312" w:cs="仿宋_GB2312"/>
          <w:color w:val="auto"/>
          <w:sz w:val="32"/>
          <w:szCs w:val="32"/>
          <w:highlight w:val="none"/>
        </w:rPr>
      </w:pPr>
    </w:p>
    <w:p w14:paraId="264C8BA8">
      <w:pPr>
        <w:rPr>
          <w:rFonts w:hint="eastAsia" w:ascii="Times New Roman" w:hAnsi="Times New Roman" w:eastAsia="仿宋_GB2312" w:cs="仿宋_GB2312"/>
          <w:color w:val="auto"/>
          <w:sz w:val="32"/>
          <w:szCs w:val="32"/>
          <w:highlight w:val="none"/>
        </w:rPr>
      </w:pPr>
    </w:p>
    <w:p w14:paraId="4C884F02">
      <w:pPr>
        <w:pStyle w:val="5"/>
        <w:jc w:val="both"/>
        <w:rPr>
          <w:rFonts w:hint="eastAsia" w:ascii="Times New Roman" w:hAnsi="Times New Roman" w:eastAsia="方正小标宋简体" w:cs="方正小标宋简体"/>
          <w:b w:val="0"/>
          <w:color w:val="auto"/>
          <w:highlight w:val="none"/>
        </w:rPr>
      </w:pPr>
      <w:bookmarkStart w:id="6" w:name="_Toc15396599"/>
      <w:bookmarkStart w:id="7" w:name="_Toc23512"/>
      <w:bookmarkStart w:id="8" w:name="_Toc15377196"/>
    </w:p>
    <w:p w14:paraId="2111BEC5">
      <w:pPr>
        <w:pStyle w:val="5"/>
        <w:jc w:val="both"/>
        <w:rPr>
          <w:rFonts w:hint="eastAsia" w:ascii="Times New Roman" w:hAnsi="Times New Roman" w:eastAsia="方正小标宋简体" w:cs="方正小标宋简体"/>
          <w:b w:val="0"/>
          <w:color w:val="auto"/>
          <w:highlight w:val="none"/>
        </w:rPr>
      </w:pPr>
    </w:p>
    <w:p w14:paraId="7FBEE6D6">
      <w:pPr>
        <w:rPr>
          <w:rFonts w:hint="eastAsia" w:eastAsia="方正小标宋简体"/>
          <w:lang w:val="en-US" w:eastAsia="zh-CN"/>
        </w:rPr>
      </w:pPr>
      <w:r>
        <w:rPr>
          <w:rFonts w:hint="eastAsia" w:eastAsia="方正小标宋简体" w:cs="方正小标宋简体"/>
          <w:b w:val="0"/>
          <w:color w:val="auto"/>
          <w:highlight w:val="none"/>
          <w:lang w:val="en-US" w:eastAsia="zh-CN"/>
        </w:rPr>
        <w:t xml:space="preserve"> </w:t>
      </w:r>
    </w:p>
    <w:p w14:paraId="4C921DEE">
      <w:pPr>
        <w:pStyle w:val="5"/>
        <w:jc w:val="center"/>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单位</w:t>
      </w:r>
      <w:r>
        <w:rPr>
          <w:rFonts w:hint="eastAsia" w:ascii="Times New Roman" w:hAnsi="Times New Roman" w:eastAsia="方正小标宋简体" w:cs="方正小标宋简体"/>
          <w:b w:val="0"/>
          <w:color w:val="auto"/>
          <w:highlight w:val="none"/>
        </w:rPr>
        <w:t>概况</w:t>
      </w:r>
      <w:bookmarkEnd w:id="6"/>
      <w:bookmarkEnd w:id="7"/>
      <w:bookmarkEnd w:id="8"/>
    </w:p>
    <w:p w14:paraId="18BBC4B0">
      <w:pPr>
        <w:pStyle w:val="6"/>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 w:val="0"/>
          <w:bCs w:val="0"/>
          <w:color w:val="auto"/>
          <w:kern w:val="2"/>
          <w:sz w:val="32"/>
          <w:szCs w:val="32"/>
          <w:highlight w:val="none"/>
          <w:lang w:val="en-US" w:eastAsia="zh-CN" w:bidi="ar-SA"/>
        </w:rPr>
      </w:pPr>
      <w:bookmarkStart w:id="9" w:name="_Toc18412"/>
      <w:r>
        <w:rPr>
          <w:rFonts w:hint="eastAsia" w:ascii="Times New Roman" w:hAnsi="Times New Roman" w:eastAsia="黑体" w:cs="Times New Roman"/>
          <w:b w:val="0"/>
          <w:bCs w:val="0"/>
          <w:color w:val="auto"/>
          <w:kern w:val="2"/>
          <w:sz w:val="32"/>
          <w:szCs w:val="32"/>
          <w:highlight w:val="none"/>
          <w:lang w:val="en-US" w:eastAsia="zh-CN" w:bidi="ar-SA"/>
        </w:rPr>
        <w:t>一、单位职责</w:t>
      </w:r>
      <w:bookmarkEnd w:id="9"/>
    </w:p>
    <w:p w14:paraId="753479FE">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eastAsia="zh-CN"/>
        </w:rPr>
      </w:pPr>
      <w:r>
        <w:rPr>
          <w:rFonts w:hint="eastAsia" w:ascii="仿宋" w:hAnsi="仿宋" w:eastAsia="仿宋" w:cs="Times New Roman"/>
          <w:color w:val="auto"/>
          <w:kern w:val="2"/>
          <w:sz w:val="32"/>
          <w:szCs w:val="32"/>
          <w:highlight w:val="none"/>
          <w:lang w:val="en-US" w:eastAsia="zh-CN" w:bidi="ar-SA"/>
        </w:rPr>
        <w:t>承担为全省退役军人及其他优抚对象、社会公众提供医疗康复、健康管理和医养、康养、疗养服务；为残疾军人提供集中供养、医疗护理服务；为全省重点优抚对象提供巡回医疗服务；开展教学科研、健康教育、疾病预防等职责。</w:t>
      </w:r>
    </w:p>
    <w:p w14:paraId="46C4AF72">
      <w:pPr>
        <w:pStyle w:val="6"/>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b w:val="0"/>
          <w:bCs w:val="0"/>
          <w:color w:val="auto"/>
          <w:kern w:val="2"/>
          <w:sz w:val="32"/>
          <w:szCs w:val="32"/>
          <w:highlight w:val="none"/>
          <w:lang w:val="en-US" w:eastAsia="zh-CN" w:bidi="ar-SA"/>
        </w:rPr>
      </w:pPr>
      <w:bookmarkStart w:id="10" w:name="_Toc15396601"/>
      <w:bookmarkStart w:id="11" w:name="_Toc15377200"/>
      <w:bookmarkStart w:id="12" w:name="_Toc31940"/>
      <w:r>
        <w:rPr>
          <w:rFonts w:hint="eastAsia" w:ascii="Times New Roman" w:hAnsi="Times New Roman" w:eastAsia="黑体" w:cs="Times New Roman"/>
          <w:b w:val="0"/>
          <w:bCs w:val="0"/>
          <w:color w:val="auto"/>
          <w:kern w:val="2"/>
          <w:sz w:val="32"/>
          <w:szCs w:val="32"/>
          <w:highlight w:val="none"/>
          <w:lang w:val="en-US" w:eastAsia="zh-CN" w:bidi="ar-SA"/>
        </w:rPr>
        <w:t>二、机构设置</w:t>
      </w:r>
      <w:bookmarkEnd w:id="10"/>
      <w:bookmarkEnd w:id="11"/>
      <w:bookmarkEnd w:id="12"/>
    </w:p>
    <w:p w14:paraId="2FDF7E33">
      <w:pPr>
        <w:pStyle w:val="36"/>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仿宋" w:hAnsi="仿宋" w:eastAsia="仿宋" w:cs="Times New Roman"/>
          <w:color w:val="auto"/>
          <w:kern w:val="2"/>
          <w:sz w:val="32"/>
          <w:szCs w:val="32"/>
          <w:highlight w:val="none"/>
          <w:lang w:val="en-US" w:eastAsia="zh-CN" w:bidi="ar-SA"/>
        </w:rPr>
      </w:pPr>
      <w:r>
        <w:rPr>
          <w:rFonts w:hint="eastAsia" w:ascii="仿宋" w:hAnsi="仿宋" w:eastAsia="仿宋" w:cs="Times New Roman"/>
          <w:color w:val="auto"/>
          <w:kern w:val="2"/>
          <w:sz w:val="32"/>
          <w:szCs w:val="32"/>
          <w:highlight w:val="none"/>
          <w:lang w:val="en-US" w:eastAsia="zh-CN" w:bidi="ar-SA"/>
        </w:rPr>
        <w:t>设置党委办公室、院办公室、纪委办公室、组织人事部、财务部、疗养与荣军管理部、质量管理部、医保管理部、信息管理中心、后勤保障部10个一级党政管理机构；设置</w:t>
      </w:r>
      <w:r>
        <w:rPr>
          <w:rFonts w:hint="default" w:ascii="仿宋" w:hAnsi="仿宋" w:eastAsia="仿宋" w:cs="Times New Roman"/>
          <w:color w:val="auto"/>
          <w:kern w:val="2"/>
          <w:sz w:val="32"/>
          <w:szCs w:val="32"/>
          <w:highlight w:val="none"/>
          <w:lang w:val="en-US" w:eastAsia="zh-CN" w:bidi="ar-SA"/>
        </w:rPr>
        <w:t>医</w:t>
      </w:r>
      <w:r>
        <w:rPr>
          <w:rFonts w:hint="eastAsia" w:ascii="仿宋" w:hAnsi="仿宋" w:eastAsia="仿宋" w:cs="Times New Roman"/>
          <w:color w:val="auto"/>
          <w:kern w:val="2"/>
          <w:sz w:val="32"/>
          <w:szCs w:val="32"/>
          <w:highlight w:val="none"/>
          <w:lang w:val="en-US" w:eastAsia="zh-CN" w:bidi="ar-SA"/>
        </w:rPr>
        <w:t>务</w:t>
      </w:r>
      <w:r>
        <w:rPr>
          <w:rFonts w:hint="default" w:ascii="仿宋" w:hAnsi="仿宋" w:eastAsia="仿宋" w:cs="Times New Roman"/>
          <w:color w:val="auto"/>
          <w:kern w:val="2"/>
          <w:sz w:val="32"/>
          <w:szCs w:val="32"/>
          <w:highlight w:val="none"/>
          <w:lang w:val="en-US" w:eastAsia="zh-CN" w:bidi="ar-SA"/>
        </w:rPr>
        <w:t>部</w:t>
      </w:r>
      <w:r>
        <w:rPr>
          <w:rFonts w:hint="eastAsia" w:ascii="仿宋" w:hAnsi="仿宋" w:eastAsia="仿宋" w:cs="Times New Roman"/>
          <w:color w:val="auto"/>
          <w:kern w:val="2"/>
          <w:sz w:val="32"/>
          <w:szCs w:val="32"/>
          <w:highlight w:val="none"/>
          <w:lang w:val="en-US" w:eastAsia="zh-CN" w:bidi="ar-SA"/>
        </w:rPr>
        <w:t>、</w:t>
      </w:r>
      <w:r>
        <w:rPr>
          <w:rFonts w:hint="default" w:ascii="仿宋" w:hAnsi="仿宋" w:eastAsia="仿宋" w:cs="Times New Roman"/>
          <w:color w:val="auto"/>
          <w:kern w:val="2"/>
          <w:sz w:val="32"/>
          <w:szCs w:val="32"/>
          <w:highlight w:val="none"/>
          <w:lang w:val="en-US" w:eastAsia="zh-CN" w:bidi="ar-SA"/>
        </w:rPr>
        <w:t>护理部</w:t>
      </w:r>
      <w:r>
        <w:rPr>
          <w:rFonts w:hint="eastAsia" w:ascii="仿宋" w:hAnsi="仿宋" w:eastAsia="仿宋" w:cs="Times New Roman"/>
          <w:color w:val="auto"/>
          <w:kern w:val="2"/>
          <w:sz w:val="32"/>
          <w:szCs w:val="32"/>
          <w:highlight w:val="none"/>
          <w:lang w:val="en-US" w:eastAsia="zh-CN" w:bidi="ar-SA"/>
        </w:rPr>
        <w:t>、科教（病案）部、公共卫生科、感染控制部、事业发展</w:t>
      </w:r>
      <w:r>
        <w:rPr>
          <w:rFonts w:hint="default" w:ascii="仿宋" w:hAnsi="仿宋" w:eastAsia="仿宋" w:cs="Times New Roman"/>
          <w:color w:val="auto"/>
          <w:kern w:val="2"/>
          <w:sz w:val="32"/>
          <w:szCs w:val="32"/>
          <w:highlight w:val="none"/>
          <w:lang w:val="en-US" w:eastAsia="zh-CN" w:bidi="ar-SA"/>
        </w:rPr>
        <w:t>部</w:t>
      </w:r>
      <w:r>
        <w:rPr>
          <w:rFonts w:hint="eastAsia" w:ascii="仿宋" w:hAnsi="仿宋" w:eastAsia="仿宋" w:cs="Times New Roman"/>
          <w:color w:val="auto"/>
          <w:kern w:val="2"/>
          <w:sz w:val="32"/>
          <w:szCs w:val="32"/>
          <w:highlight w:val="none"/>
          <w:lang w:val="en-US" w:eastAsia="zh-CN" w:bidi="ar-SA"/>
        </w:rPr>
        <w:t>、</w:t>
      </w:r>
      <w:r>
        <w:rPr>
          <w:rFonts w:hint="default" w:ascii="仿宋" w:hAnsi="仿宋" w:eastAsia="仿宋" w:cs="Times New Roman"/>
          <w:color w:val="auto"/>
          <w:kern w:val="2"/>
          <w:sz w:val="32"/>
          <w:szCs w:val="32"/>
          <w:highlight w:val="none"/>
          <w:lang w:val="en-US" w:eastAsia="zh-CN" w:bidi="ar-SA"/>
        </w:rPr>
        <w:t>门诊部</w:t>
      </w:r>
      <w:r>
        <w:rPr>
          <w:rFonts w:hint="eastAsia" w:ascii="仿宋" w:hAnsi="仿宋" w:eastAsia="仿宋" w:cs="Times New Roman"/>
          <w:color w:val="auto"/>
          <w:kern w:val="2"/>
          <w:sz w:val="32"/>
          <w:szCs w:val="32"/>
          <w:highlight w:val="none"/>
          <w:lang w:val="en-US" w:eastAsia="zh-CN" w:bidi="ar-SA"/>
        </w:rPr>
        <w:t>、康复医学科、养老科、老年医学科、心身疾病科、精神康复科业务管理及临床机构一级科室12个。门诊部下设医学影像科、检验科、药剂科。</w:t>
      </w:r>
    </w:p>
    <w:p w14:paraId="0C08DAD7">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AB70349">
      <w:pPr>
        <w:pStyle w:val="5"/>
        <w:jc w:val="center"/>
        <w:rPr>
          <w:rFonts w:hint="eastAsia" w:ascii="Times New Roman" w:hAnsi="Times New Roman" w:eastAsia="方正小标宋简体" w:cs="方正小标宋简体"/>
          <w:b w:val="0"/>
          <w:color w:val="auto"/>
          <w:highlight w:val="none"/>
        </w:rPr>
      </w:pPr>
      <w:bookmarkStart w:id="13" w:name="_Toc15377204"/>
      <w:bookmarkStart w:id="14" w:name="_Toc15396602"/>
    </w:p>
    <w:p w14:paraId="15D3A95D">
      <w:pPr>
        <w:pStyle w:val="5"/>
        <w:jc w:val="center"/>
        <w:rPr>
          <w:rFonts w:hint="eastAsia" w:ascii="Times New Roman" w:hAnsi="Times New Roman" w:eastAsia="方正小标宋简体" w:cs="方正小标宋简体"/>
          <w:b w:val="0"/>
          <w:color w:val="auto"/>
          <w:highlight w:val="none"/>
        </w:rPr>
      </w:pPr>
      <w:bookmarkStart w:id="15" w:name="_Toc1579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eastAsia="方正小标宋简体" w:cs="方正小标宋简体"/>
          <w:b w:val="0"/>
          <w:color w:val="auto"/>
          <w:highlight w:val="none"/>
          <w:lang w:val="en-US" w:eastAsia="zh-CN"/>
        </w:rPr>
        <w:t>单位</w:t>
      </w:r>
      <w:r>
        <w:rPr>
          <w:rFonts w:hint="eastAsia" w:ascii="Times New Roman" w:hAnsi="Times New Roman" w:eastAsia="方正小标宋简体" w:cs="方正小标宋简体"/>
          <w:b w:val="0"/>
          <w:color w:val="auto"/>
          <w:highlight w:val="none"/>
        </w:rPr>
        <w:t>决算情况说明</w:t>
      </w:r>
      <w:bookmarkEnd w:id="13"/>
      <w:bookmarkEnd w:id="14"/>
      <w:bookmarkEnd w:id="15"/>
    </w:p>
    <w:p w14:paraId="651A68EF">
      <w:pPr>
        <w:rPr>
          <w:rFonts w:ascii="Times New Roman" w:hAnsi="Times New Roman"/>
          <w:color w:val="auto"/>
          <w:highlight w:val="none"/>
        </w:rPr>
      </w:pPr>
    </w:p>
    <w:p w14:paraId="73ED6DE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6" w:name="_Toc15396603"/>
      <w:bookmarkStart w:id="17" w:name="_Toc15476"/>
      <w:bookmarkStart w:id="18"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6"/>
      <w:bookmarkEnd w:id="17"/>
      <w:bookmarkEnd w:id="18"/>
    </w:p>
    <w:p w14:paraId="7B79EDE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eastAsia="仿宋_GB2312" w:cs="仿宋_GB2312"/>
          <w:color w:val="auto"/>
          <w:sz w:val="32"/>
          <w:szCs w:val="32"/>
          <w:highlight w:val="none"/>
          <w:lang w:val="en-US" w:eastAsia="zh-CN"/>
        </w:rPr>
        <w:t>9939.97</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4094.71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70.1</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增加中央专项彩票公益金支持优抚医院能力提升项目资金。二是增加</w:t>
      </w:r>
      <w:r>
        <w:rPr>
          <w:rFonts w:hint="eastAsia" w:ascii="Times New Roman" w:hAnsi="Times New Roman" w:eastAsia="仿宋_GB2312" w:cs="仿宋_GB2312"/>
          <w:color w:val="auto"/>
          <w:kern w:val="2"/>
          <w:sz w:val="32"/>
          <w:szCs w:val="32"/>
          <w:highlight w:val="none"/>
          <w:lang w:val="en-US" w:eastAsia="zh-CN" w:bidi="ar-SA"/>
        </w:rPr>
        <w:t>优抚安置事业单位维修改造和设备购置（311904）</w:t>
      </w:r>
      <w:r>
        <w:rPr>
          <w:rFonts w:hint="eastAsia" w:eastAsia="仿宋_GB2312" w:cs="仿宋_GB2312"/>
          <w:color w:val="auto"/>
          <w:kern w:val="2"/>
          <w:sz w:val="32"/>
          <w:szCs w:val="32"/>
          <w:highlight w:val="none"/>
          <w:lang w:val="en-US" w:eastAsia="zh-CN" w:bidi="ar-SA"/>
        </w:rPr>
        <w:t>项目资金</w:t>
      </w:r>
      <w:r>
        <w:rPr>
          <w:rFonts w:hint="eastAsia" w:eastAsia="仿宋_GB2312" w:cs="仿宋_GB2312"/>
          <w:color w:val="auto"/>
          <w:sz w:val="32"/>
          <w:szCs w:val="32"/>
          <w:highlight w:val="none"/>
          <w:lang w:val="en-US" w:eastAsia="zh-CN"/>
        </w:rPr>
        <w:t>。</w:t>
      </w:r>
    </w:p>
    <w:p w14:paraId="3B8A6A3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sz w:val="32"/>
          <w:szCs w:val="32"/>
          <w:highlight w:val="none"/>
          <w:lang w:val="en-US" w:eastAsia="zh-CN"/>
        </w:rPr>
      </w:pPr>
      <w:r>
        <w:drawing>
          <wp:anchor distT="0" distB="0" distL="114300" distR="114300" simplePos="0" relativeHeight="251660288" behindDoc="0" locked="0" layoutInCell="1" allowOverlap="1">
            <wp:simplePos x="0" y="0"/>
            <wp:positionH relativeFrom="column">
              <wp:posOffset>299720</wp:posOffset>
            </wp:positionH>
            <wp:positionV relativeFrom="paragraph">
              <wp:posOffset>156845</wp:posOffset>
            </wp:positionV>
            <wp:extent cx="4826000" cy="2857500"/>
            <wp:effectExtent l="5080" t="4445" r="7620"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D258B5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6764858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364FFED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2700000" w14:scaled="0"/>
            </w14:gradFill>
          </w14:textFill>
        </w:rPr>
      </w:pPr>
    </w:p>
    <w:p w14:paraId="5188AD2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eastAsia="仿宋_GB2312" w:cs="仿宋_GB2312"/>
          <w:b/>
          <w:bCs/>
          <w:color w:val="auto"/>
          <w:sz w:val="32"/>
          <w:szCs w:val="32"/>
          <w:highlight w:val="none"/>
          <w:lang w:val="en-US" w:eastAsia="zh-CN"/>
        </w:rPr>
      </w:pPr>
    </w:p>
    <w:p w14:paraId="6D3D16E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eastAsia="仿宋_GB2312" w:cs="仿宋_GB2312"/>
          <w:b/>
          <w:bCs/>
          <w:color w:val="auto"/>
          <w:sz w:val="32"/>
          <w:szCs w:val="32"/>
          <w:highlight w:val="none"/>
          <w:lang w:val="en-US" w:eastAsia="zh-CN"/>
        </w:rPr>
      </w:pPr>
    </w:p>
    <w:p w14:paraId="0479CFE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sz w:val="32"/>
          <w:szCs w:val="32"/>
          <w:highlight w:val="none"/>
          <w:lang w:val="en-US" w:eastAsia="zh-CN"/>
        </w:rPr>
      </w:pPr>
    </w:p>
    <w:p w14:paraId="77269FF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7D077664">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14:paraId="18123D50">
      <w:pPr>
        <w:pStyle w:val="6"/>
        <w:bidi w:val="0"/>
        <w:ind w:firstLine="643" w:firstLineChars="200"/>
        <w:rPr>
          <w:rFonts w:hint="eastAsia" w:ascii="黑体" w:hAnsi="黑体" w:eastAsia="黑体" w:cs="黑体"/>
          <w:b/>
          <w:bCs/>
          <w:color w:val="auto"/>
          <w:kern w:val="2"/>
          <w:sz w:val="32"/>
          <w:szCs w:val="32"/>
          <w:highlight w:val="none"/>
          <w:lang w:val="en-US" w:eastAsia="zh-CN" w:bidi="ar-SA"/>
        </w:rPr>
      </w:pPr>
      <w:bookmarkStart w:id="19" w:name="_Toc15377206"/>
      <w:bookmarkStart w:id="20" w:name="_Toc15396604"/>
      <w:bookmarkStart w:id="21" w:name="_Toc19099"/>
      <w:r>
        <w:rPr>
          <w:rFonts w:hint="eastAsia" w:ascii="黑体" w:hAnsi="黑体" w:eastAsia="黑体" w:cs="黑体"/>
          <w:b/>
          <w:bCs/>
          <w:color w:val="auto"/>
          <w:kern w:val="2"/>
          <w:sz w:val="32"/>
          <w:szCs w:val="32"/>
          <w:highlight w:val="none"/>
          <w:lang w:val="en-US" w:eastAsia="zh-CN" w:bidi="ar-SA"/>
        </w:rPr>
        <w:t>二、收入决算情况说明</w:t>
      </w:r>
      <w:bookmarkEnd w:id="19"/>
      <w:bookmarkEnd w:id="20"/>
      <w:bookmarkEnd w:id="21"/>
    </w:p>
    <w:p w14:paraId="4133B97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b w:val="0"/>
          <w:bCs w:val="0"/>
          <w:color w:val="auto"/>
          <w:kern w:val="2"/>
          <w:sz w:val="32"/>
          <w:szCs w:val="32"/>
          <w:highlight w:val="none"/>
          <w:lang w:val="en-US" w:eastAsia="zh-CN" w:bidi="ar-SA"/>
        </w:rPr>
        <w:t>2024年度本年收入合计9231.79万</w:t>
      </w:r>
      <w:r>
        <w:rPr>
          <w:rFonts w:hint="eastAsia" w:ascii="Times New Roman" w:hAnsi="Times New Roman" w:eastAsia="仿宋_GB2312" w:cs="仿宋_GB2312"/>
          <w:color w:val="auto"/>
          <w:sz w:val="32"/>
          <w:szCs w:val="32"/>
          <w:highlight w:val="none"/>
          <w:lang w:eastAsia="zh-CN"/>
        </w:rPr>
        <w:t>元，其中：一般公共预算财政拨款收入</w:t>
      </w:r>
      <w:r>
        <w:rPr>
          <w:rFonts w:hint="eastAsia" w:eastAsia="仿宋_GB2312" w:cs="仿宋_GB2312"/>
          <w:color w:val="auto"/>
          <w:sz w:val="32"/>
          <w:szCs w:val="32"/>
          <w:highlight w:val="none"/>
          <w:lang w:val="en-US" w:eastAsia="zh-CN"/>
        </w:rPr>
        <w:t>3730.84</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40.4</w:t>
      </w:r>
      <w:r>
        <w:rPr>
          <w:rFonts w:hint="eastAsia" w:ascii="Times New Roman" w:hAnsi="Times New Roman" w:eastAsia="仿宋_GB2312" w:cs="仿宋_GB2312"/>
          <w:color w:val="auto"/>
          <w:sz w:val="32"/>
          <w:szCs w:val="32"/>
          <w:highlight w:val="none"/>
          <w:lang w:eastAsia="zh-CN"/>
        </w:rPr>
        <w:t>%；政府性基金预算财政拨款收入</w:t>
      </w:r>
      <w:r>
        <w:rPr>
          <w:rFonts w:hint="eastAsia" w:eastAsia="仿宋_GB2312" w:cs="仿宋_GB2312"/>
          <w:color w:val="auto"/>
          <w:sz w:val="32"/>
          <w:szCs w:val="32"/>
          <w:highlight w:val="none"/>
          <w:lang w:val="en-US" w:eastAsia="zh-CN"/>
        </w:rPr>
        <w:t>1210.87</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13.1</w:t>
      </w:r>
      <w:r>
        <w:rPr>
          <w:rFonts w:hint="eastAsia" w:ascii="Times New Roman" w:hAnsi="Times New Roman" w:eastAsia="仿宋_GB2312" w:cs="仿宋_GB2312"/>
          <w:color w:val="auto"/>
          <w:sz w:val="32"/>
          <w:szCs w:val="32"/>
          <w:highlight w:val="none"/>
          <w:lang w:eastAsia="zh-CN"/>
        </w:rPr>
        <w:t>%；事业收入</w:t>
      </w:r>
      <w:r>
        <w:rPr>
          <w:rFonts w:hint="eastAsia" w:eastAsia="仿宋_GB2312" w:cs="仿宋_GB2312"/>
          <w:color w:val="auto"/>
          <w:sz w:val="32"/>
          <w:szCs w:val="32"/>
          <w:highlight w:val="none"/>
          <w:lang w:val="en-US" w:eastAsia="zh-CN"/>
        </w:rPr>
        <w:t>4290.08</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46.5</w:t>
      </w:r>
      <w:r>
        <w:rPr>
          <w:rFonts w:hint="eastAsia" w:ascii="Times New Roman" w:hAnsi="Times New Roman" w:eastAsia="仿宋_GB2312" w:cs="仿宋_GB2312"/>
          <w:color w:val="auto"/>
          <w:sz w:val="32"/>
          <w:szCs w:val="32"/>
          <w:highlight w:val="none"/>
          <w:lang w:eastAsia="zh-CN"/>
        </w:rPr>
        <w:t>%。</w:t>
      </w:r>
    </w:p>
    <w:p w14:paraId="752AFA8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1312" behindDoc="0" locked="0" layoutInCell="1" allowOverlap="1">
            <wp:simplePos x="0" y="0"/>
            <wp:positionH relativeFrom="column">
              <wp:posOffset>461645</wp:posOffset>
            </wp:positionH>
            <wp:positionV relativeFrom="paragraph">
              <wp:posOffset>119380</wp:posOffset>
            </wp:positionV>
            <wp:extent cx="4768850" cy="2600325"/>
            <wp:effectExtent l="4445" t="4445" r="8255" b="5080"/>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8744EC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449FEF6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7217423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69F8301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151C9BE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23780AB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5225634F">
      <w:pPr>
        <w:ind w:firstLine="2400" w:firstLineChars="7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w:t>
      </w:r>
    </w:p>
    <w:p w14:paraId="049F5AE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96605"/>
      <w:bookmarkStart w:id="23" w:name="_Toc5459"/>
      <w:bookmarkStart w:id="24"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bookmarkEnd w:id="24"/>
    </w:p>
    <w:p w14:paraId="6D01035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2024年度本年支出合计</w:t>
      </w:r>
      <w:r>
        <w:rPr>
          <w:rFonts w:hint="eastAsia" w:eastAsia="仿宋_GB2312" w:cs="仿宋_GB2312"/>
          <w:color w:val="auto"/>
          <w:sz w:val="32"/>
          <w:szCs w:val="32"/>
          <w:highlight w:val="none"/>
          <w:lang w:val="en-US" w:eastAsia="zh-CN"/>
        </w:rPr>
        <w:t>9091.55</w:t>
      </w:r>
      <w:r>
        <w:rPr>
          <w:rFonts w:hint="eastAsia" w:ascii="Times New Roman" w:hAnsi="Times New Roman" w:eastAsia="仿宋_GB2312" w:cs="仿宋_GB2312"/>
          <w:color w:val="auto"/>
          <w:sz w:val="32"/>
          <w:szCs w:val="32"/>
          <w:highlight w:val="none"/>
          <w:lang w:eastAsia="zh-CN"/>
        </w:rPr>
        <w:t>万元，其中：基本支出</w:t>
      </w:r>
      <w:r>
        <w:rPr>
          <w:rFonts w:hint="eastAsia" w:eastAsia="仿宋_GB2312" w:cs="仿宋_GB2312"/>
          <w:color w:val="auto"/>
          <w:sz w:val="32"/>
          <w:szCs w:val="32"/>
          <w:highlight w:val="none"/>
          <w:lang w:val="en-US" w:eastAsia="zh-CN"/>
        </w:rPr>
        <w:t>3564.16</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39.2</w:t>
      </w:r>
      <w:r>
        <w:rPr>
          <w:rFonts w:hint="eastAsia" w:ascii="Times New Roman" w:hAnsi="Times New Roman" w:eastAsia="仿宋_GB2312" w:cs="仿宋_GB2312"/>
          <w:color w:val="auto"/>
          <w:sz w:val="32"/>
          <w:szCs w:val="32"/>
          <w:highlight w:val="none"/>
          <w:lang w:eastAsia="zh-CN"/>
        </w:rPr>
        <w:t>%；项目支出</w:t>
      </w:r>
      <w:r>
        <w:rPr>
          <w:rFonts w:hint="eastAsia" w:eastAsia="仿宋_GB2312" w:cs="仿宋_GB2312"/>
          <w:color w:val="auto"/>
          <w:sz w:val="32"/>
          <w:szCs w:val="32"/>
          <w:highlight w:val="none"/>
          <w:lang w:val="en-US" w:eastAsia="zh-CN"/>
        </w:rPr>
        <w:t>5527.39</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60.8</w:t>
      </w:r>
      <w:r>
        <w:rPr>
          <w:rFonts w:hint="eastAsia" w:ascii="Times New Roman" w:hAnsi="Times New Roman" w:eastAsia="仿宋_GB2312" w:cs="仿宋_GB2312"/>
          <w:color w:val="auto"/>
          <w:sz w:val="32"/>
          <w:szCs w:val="32"/>
          <w:highlight w:val="none"/>
          <w:lang w:eastAsia="zh-CN"/>
        </w:rPr>
        <w:t>%。</w:t>
      </w:r>
    </w:p>
    <w:p w14:paraId="1094C93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2336" behindDoc="0" locked="0" layoutInCell="1" allowOverlap="1">
            <wp:simplePos x="0" y="0"/>
            <wp:positionH relativeFrom="column">
              <wp:posOffset>509270</wp:posOffset>
            </wp:positionH>
            <wp:positionV relativeFrom="paragraph">
              <wp:posOffset>90170</wp:posOffset>
            </wp:positionV>
            <wp:extent cx="4826000" cy="2743200"/>
            <wp:effectExtent l="4445" t="4445" r="8255" b="14605"/>
            <wp:wrapNone/>
            <wp:docPr id="2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7920C7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2562572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10DBB3D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2D01D4B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4E7B463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1DAA51D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0BDA194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4D130FF3">
      <w:pPr>
        <w:ind w:firstLine="2720" w:firstLineChars="8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p>
    <w:p w14:paraId="79DA667B">
      <w:pPr>
        <w:spacing w:line="600" w:lineRule="exact"/>
        <w:ind w:firstLine="640" w:firstLineChars="200"/>
        <w:outlineLvl w:val="1"/>
        <w:rPr>
          <w:rStyle w:val="30"/>
          <w:rFonts w:ascii="Times New Roman" w:hAnsi="Times New Roman" w:eastAsia="黑体"/>
          <w:b w:val="0"/>
          <w:color w:val="auto"/>
          <w:highlight w:val="none"/>
        </w:rPr>
      </w:pPr>
      <w:bookmarkStart w:id="25" w:name="_Toc15396606"/>
      <w:bookmarkStart w:id="26" w:name="_Toc15377208"/>
      <w:bookmarkStart w:id="27" w:name="_Toc25183"/>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5"/>
      <w:bookmarkEnd w:id="26"/>
      <w:bookmarkEnd w:id="27"/>
    </w:p>
    <w:p w14:paraId="115C8D3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eastAsia="仿宋_GB2312" w:cs="仿宋_GB2312"/>
          <w:color w:val="auto"/>
          <w:kern w:val="2"/>
          <w:sz w:val="32"/>
          <w:szCs w:val="32"/>
          <w:highlight w:val="none"/>
          <w:lang w:val="en-US" w:eastAsia="zh-CN" w:bidi="ar-SA"/>
        </w:rPr>
        <w:t>4941.71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2283.54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85.9</w:t>
      </w:r>
      <w:r>
        <w:rPr>
          <w:rFonts w:hint="eastAsia" w:ascii="Times New Roman" w:hAnsi="Times New Roman" w:eastAsia="仿宋_GB2312" w:cs="仿宋_GB2312"/>
          <w:color w:val="auto"/>
          <w:kern w:val="2"/>
          <w:sz w:val="32"/>
          <w:szCs w:val="32"/>
          <w:highlight w:val="none"/>
          <w:lang w:val="en-US" w:eastAsia="zh-CN" w:bidi="ar-SA"/>
        </w:rPr>
        <w:t>%。主要变动原因</w:t>
      </w:r>
      <w:r>
        <w:rPr>
          <w:rFonts w:hint="eastAsia" w:eastAsia="仿宋_GB2312" w:cs="仿宋_GB2312"/>
          <w:color w:val="auto"/>
          <w:kern w:val="2"/>
          <w:sz w:val="32"/>
          <w:szCs w:val="32"/>
          <w:highlight w:val="none"/>
          <w:lang w:val="en-US" w:eastAsia="zh-CN" w:bidi="ar-SA"/>
        </w:rPr>
        <w:t>：</w:t>
      </w:r>
      <w:r>
        <w:rPr>
          <w:rFonts w:hint="eastAsia"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增加中央专项彩票公益金支持优抚医院能力提升项目资金。二是增加</w:t>
      </w:r>
      <w:r>
        <w:rPr>
          <w:rFonts w:hint="eastAsia" w:ascii="Times New Roman" w:hAnsi="Times New Roman" w:eastAsia="仿宋_GB2312" w:cs="仿宋_GB2312"/>
          <w:color w:val="auto"/>
          <w:kern w:val="2"/>
          <w:sz w:val="32"/>
          <w:szCs w:val="32"/>
          <w:highlight w:val="none"/>
          <w:lang w:val="en-US" w:eastAsia="zh-CN" w:bidi="ar-SA"/>
        </w:rPr>
        <w:t>优抚安置事业单位维修改造和设备购置（311904）</w:t>
      </w:r>
      <w:r>
        <w:rPr>
          <w:rFonts w:hint="eastAsia" w:eastAsia="仿宋_GB2312" w:cs="仿宋_GB2312"/>
          <w:color w:val="auto"/>
          <w:kern w:val="2"/>
          <w:sz w:val="32"/>
          <w:szCs w:val="32"/>
          <w:highlight w:val="none"/>
          <w:lang w:val="en-US" w:eastAsia="zh-CN" w:bidi="ar-SA"/>
        </w:rPr>
        <w:t>项目资金</w:t>
      </w:r>
      <w:r>
        <w:rPr>
          <w:rFonts w:hint="eastAsia" w:eastAsia="仿宋_GB2312" w:cs="仿宋_GB2312"/>
          <w:color w:val="auto"/>
          <w:sz w:val="32"/>
          <w:szCs w:val="32"/>
          <w:highlight w:val="none"/>
          <w:lang w:val="en-US" w:eastAsia="zh-CN"/>
        </w:rPr>
        <w:t>。</w:t>
      </w:r>
    </w:p>
    <w:p w14:paraId="1E7D8CC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_GB2312" w:cs="仿宋_GB2312"/>
          <w:color w:val="auto"/>
          <w:sz w:val="32"/>
          <w:szCs w:val="32"/>
          <w:highlight w:val="none"/>
          <w:lang w:val="en-US" w:eastAsia="zh-CN"/>
        </w:rPr>
      </w:pPr>
      <w:r>
        <w:drawing>
          <wp:anchor distT="0" distB="0" distL="114300" distR="114300" simplePos="0" relativeHeight="251663360" behindDoc="0" locked="0" layoutInCell="1" allowOverlap="1">
            <wp:simplePos x="0" y="0"/>
            <wp:positionH relativeFrom="column">
              <wp:posOffset>271145</wp:posOffset>
            </wp:positionH>
            <wp:positionV relativeFrom="paragraph">
              <wp:posOffset>90170</wp:posOffset>
            </wp:positionV>
            <wp:extent cx="4826000" cy="2628900"/>
            <wp:effectExtent l="4445" t="4445" r="8255" b="1460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02EF28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536BEC5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485967A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059649C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4AA7955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5B14B73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sz w:val="32"/>
          <w:szCs w:val="32"/>
          <w:highlight w:val="none"/>
          <w:lang w:val="en-US" w:eastAsia="zh-CN"/>
        </w:rPr>
      </w:pPr>
    </w:p>
    <w:p w14:paraId="2CFDEF97">
      <w:pPr>
        <w:spacing w:line="600" w:lineRule="exact"/>
        <w:ind w:firstLine="1600" w:firstLineChars="5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p>
    <w:p w14:paraId="637AAD2D">
      <w:pPr>
        <w:spacing w:line="600" w:lineRule="exact"/>
        <w:ind w:firstLine="640" w:firstLineChars="200"/>
        <w:outlineLvl w:val="1"/>
        <w:rPr>
          <w:rStyle w:val="30"/>
          <w:rFonts w:ascii="Times New Roman" w:hAnsi="Times New Roman" w:eastAsia="黑体"/>
          <w:b w:val="0"/>
          <w:color w:val="auto"/>
          <w:highlight w:val="none"/>
        </w:rPr>
      </w:pPr>
      <w:bookmarkStart w:id="28" w:name="_Toc15396607"/>
      <w:bookmarkStart w:id="29" w:name="_Toc15377209"/>
      <w:bookmarkStart w:id="30" w:name="_Toc25516"/>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8"/>
      <w:bookmarkEnd w:id="29"/>
      <w:bookmarkEnd w:id="30"/>
    </w:p>
    <w:p w14:paraId="0442BD1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1"/>
    </w:p>
    <w:p w14:paraId="4935A2AA">
      <w:pPr>
        <w:spacing w:line="600" w:lineRule="exact"/>
        <w:ind w:firstLine="640"/>
        <w:rPr>
          <w:rFonts w:hint="default"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eastAsia="仿宋_GB2312" w:cs="仿宋_GB2312"/>
          <w:color w:val="auto"/>
          <w:kern w:val="2"/>
          <w:sz w:val="32"/>
          <w:szCs w:val="32"/>
          <w:highlight w:val="none"/>
          <w:lang w:val="en-US" w:eastAsia="zh-CN" w:bidi="ar-SA"/>
        </w:rPr>
        <w:t>3730.84</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eastAsia="仿宋_GB2312" w:cs="仿宋_GB2312"/>
          <w:color w:val="auto"/>
          <w:kern w:val="2"/>
          <w:sz w:val="32"/>
          <w:szCs w:val="32"/>
          <w:highlight w:val="none"/>
          <w:lang w:val="en-US" w:eastAsia="zh-CN" w:bidi="ar-SA"/>
        </w:rPr>
        <w:t>41</w:t>
      </w:r>
      <w:r>
        <w:rPr>
          <w:rFonts w:hint="eastAsia" w:ascii="Times New Roman" w:hAnsi="Times New Roman" w:eastAsia="仿宋_GB2312" w:cs="仿宋_GB2312"/>
          <w:color w:val="auto"/>
          <w:kern w:val="2"/>
          <w:sz w:val="32"/>
          <w:szCs w:val="32"/>
          <w:highlight w:val="none"/>
          <w:lang w:val="en-US" w:eastAsia="zh-CN" w:bidi="ar-SA"/>
        </w:rPr>
        <w:t>%。与2023年度相比，一般公共预算财政拨款支出增加</w:t>
      </w:r>
      <w:r>
        <w:rPr>
          <w:rFonts w:hint="eastAsia" w:eastAsia="仿宋_GB2312" w:cs="仿宋_GB2312"/>
          <w:color w:val="auto"/>
          <w:kern w:val="2"/>
          <w:sz w:val="32"/>
          <w:szCs w:val="32"/>
          <w:highlight w:val="none"/>
          <w:lang w:val="en-US" w:eastAsia="zh-CN" w:bidi="ar-SA"/>
        </w:rPr>
        <w:t>1072.67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40.4</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增加</w:t>
      </w:r>
      <w:r>
        <w:rPr>
          <w:rFonts w:hint="eastAsia" w:ascii="Times New Roman" w:hAnsi="Times New Roman" w:eastAsia="仿宋_GB2312" w:cs="仿宋_GB2312"/>
          <w:color w:val="auto"/>
          <w:kern w:val="2"/>
          <w:sz w:val="32"/>
          <w:szCs w:val="32"/>
          <w:highlight w:val="none"/>
          <w:lang w:val="en-US" w:eastAsia="zh-CN" w:bidi="ar-SA"/>
        </w:rPr>
        <w:t>优抚安置事业单位维修改造和设备购置（311904）</w:t>
      </w:r>
      <w:r>
        <w:rPr>
          <w:rFonts w:hint="eastAsia" w:eastAsia="仿宋_GB2312" w:cs="仿宋_GB2312"/>
          <w:color w:val="auto"/>
          <w:kern w:val="2"/>
          <w:sz w:val="32"/>
          <w:szCs w:val="32"/>
          <w:highlight w:val="none"/>
          <w:lang w:val="en-US" w:eastAsia="zh-CN" w:bidi="ar-SA"/>
        </w:rPr>
        <w:t>项目资金</w:t>
      </w:r>
      <w:r>
        <w:rPr>
          <w:rFonts w:hint="eastAsia" w:eastAsia="仿宋_GB2312" w:cs="仿宋_GB2312"/>
          <w:color w:val="auto"/>
          <w:sz w:val="32"/>
          <w:szCs w:val="32"/>
          <w:highlight w:val="none"/>
          <w:lang w:val="en-US" w:eastAsia="zh-CN"/>
        </w:rPr>
        <w:t>。</w:t>
      </w:r>
    </w:p>
    <w:p w14:paraId="75AEAD44">
      <w:pPr>
        <w:spacing w:line="600" w:lineRule="exact"/>
        <w:ind w:firstLine="640"/>
        <w:rPr>
          <w:rFonts w:hint="eastAsia" w:eastAsia="仿宋_GB2312" w:cs="仿宋_GB2312"/>
          <w:color w:val="auto"/>
          <w:sz w:val="32"/>
          <w:szCs w:val="32"/>
          <w:highlight w:val="none"/>
          <w:lang w:val="en-US" w:eastAsia="zh-CN"/>
        </w:rPr>
      </w:pPr>
    </w:p>
    <w:p w14:paraId="232F517C">
      <w:pPr>
        <w:spacing w:line="600" w:lineRule="exact"/>
        <w:ind w:firstLine="640"/>
        <w:rPr>
          <w:rFonts w:hint="eastAsia" w:eastAsia="仿宋_GB2312" w:cs="仿宋_GB2312"/>
          <w:color w:val="auto"/>
          <w:sz w:val="32"/>
          <w:szCs w:val="32"/>
          <w:highlight w:val="none"/>
          <w:lang w:val="en-US" w:eastAsia="zh-CN"/>
        </w:rPr>
      </w:pPr>
    </w:p>
    <w:p w14:paraId="7BA1BADC">
      <w:pPr>
        <w:spacing w:line="600" w:lineRule="exact"/>
        <w:ind w:firstLine="640"/>
        <w:rPr>
          <w:rFonts w:hint="eastAsia" w:eastAsia="仿宋_GB2312" w:cs="仿宋_GB2312"/>
          <w:color w:val="auto"/>
          <w:sz w:val="32"/>
          <w:szCs w:val="32"/>
          <w:highlight w:val="none"/>
          <w:lang w:val="en-US" w:eastAsia="zh-CN"/>
        </w:rPr>
      </w:pPr>
      <w:r>
        <w:drawing>
          <wp:anchor distT="0" distB="0" distL="114300" distR="114300" simplePos="0" relativeHeight="251665408" behindDoc="0" locked="0" layoutInCell="1" allowOverlap="1">
            <wp:simplePos x="0" y="0"/>
            <wp:positionH relativeFrom="column">
              <wp:posOffset>276225</wp:posOffset>
            </wp:positionH>
            <wp:positionV relativeFrom="paragraph">
              <wp:posOffset>-180975</wp:posOffset>
            </wp:positionV>
            <wp:extent cx="4826000" cy="2192020"/>
            <wp:effectExtent l="5080" t="4445" r="7620" b="13335"/>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55E9F58">
      <w:pPr>
        <w:pStyle w:val="2"/>
        <w:rPr>
          <w:rFonts w:hint="eastAsia" w:eastAsia="仿宋_GB2312" w:cs="仿宋_GB2312"/>
          <w:color w:val="auto"/>
          <w:sz w:val="32"/>
          <w:szCs w:val="32"/>
          <w:highlight w:val="none"/>
          <w:lang w:val="en-US" w:eastAsia="zh-CN"/>
        </w:rPr>
      </w:pPr>
    </w:p>
    <w:p w14:paraId="4DAC5126">
      <w:pPr>
        <w:pStyle w:val="3"/>
        <w:rPr>
          <w:rFonts w:hint="eastAsia" w:eastAsia="仿宋_GB2312" w:cs="仿宋_GB2312"/>
          <w:color w:val="auto"/>
          <w:sz w:val="32"/>
          <w:szCs w:val="32"/>
          <w:highlight w:val="none"/>
          <w:lang w:val="en-US" w:eastAsia="zh-CN"/>
        </w:rPr>
      </w:pPr>
    </w:p>
    <w:p w14:paraId="3786D9A4">
      <w:pPr>
        <w:pStyle w:val="3"/>
        <w:rPr>
          <w:rFonts w:hint="eastAsia" w:eastAsia="仿宋_GB2312" w:cs="仿宋_GB2312"/>
          <w:color w:val="auto"/>
          <w:sz w:val="32"/>
          <w:szCs w:val="32"/>
          <w:highlight w:val="none"/>
          <w:lang w:val="en-US" w:eastAsia="zh-CN"/>
        </w:rPr>
      </w:pPr>
    </w:p>
    <w:p w14:paraId="29342740">
      <w:pPr>
        <w:spacing w:line="600" w:lineRule="exact"/>
        <w:rPr>
          <w:rFonts w:hint="eastAsia" w:eastAsia="仿宋_GB2312" w:cs="仿宋_GB2312"/>
          <w:color w:val="auto"/>
          <w:sz w:val="32"/>
          <w:szCs w:val="32"/>
          <w:highlight w:val="none"/>
          <w:lang w:val="en-US" w:eastAsia="zh-CN"/>
        </w:rPr>
      </w:pPr>
    </w:p>
    <w:p w14:paraId="3B1627A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p>
    <w:p w14:paraId="1504641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2"/>
    </w:p>
    <w:p w14:paraId="476BB1E1">
      <w:pPr>
        <w:spacing w:line="600" w:lineRule="exact"/>
        <w:ind w:firstLine="640"/>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eastAsia="仿宋_GB2312" w:cs="仿宋_GB2312"/>
          <w:color w:val="auto"/>
          <w:kern w:val="2"/>
          <w:sz w:val="32"/>
          <w:szCs w:val="32"/>
          <w:highlight w:val="none"/>
          <w:lang w:val="en-US" w:eastAsia="zh-CN" w:bidi="ar-SA"/>
        </w:rPr>
        <w:t>3730.84</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3205.7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85.9</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452.96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12.1</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66.18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sz w:val="32"/>
          <w:szCs w:val="32"/>
          <w:highlight w:val="none"/>
          <w:lang w:val="en-US" w:eastAsia="zh-CN"/>
        </w:rPr>
        <w:t>。</w:t>
      </w:r>
    </w:p>
    <w:p w14:paraId="4E11850D">
      <w:pPr>
        <w:spacing w:line="600" w:lineRule="exact"/>
        <w:ind w:firstLine="640"/>
        <w:rPr>
          <w:rFonts w:hint="eastAsia" w:eastAsia="仿宋_GB2312" w:cs="仿宋_GB2312"/>
          <w:color w:val="auto"/>
          <w:sz w:val="32"/>
          <w:szCs w:val="32"/>
          <w:highlight w:val="none"/>
          <w:lang w:val="en-US" w:eastAsia="zh-CN"/>
        </w:rPr>
      </w:pPr>
      <w:r>
        <w:drawing>
          <wp:anchor distT="0" distB="0" distL="114300" distR="114300" simplePos="0" relativeHeight="251664384" behindDoc="0" locked="0" layoutInCell="1" allowOverlap="1">
            <wp:simplePos x="0" y="0"/>
            <wp:positionH relativeFrom="column">
              <wp:posOffset>372745</wp:posOffset>
            </wp:positionH>
            <wp:positionV relativeFrom="paragraph">
              <wp:posOffset>261620</wp:posOffset>
            </wp:positionV>
            <wp:extent cx="4826000" cy="2743200"/>
            <wp:effectExtent l="4445" t="4445" r="8255"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21A9E0E6">
      <w:pPr>
        <w:spacing w:line="600" w:lineRule="exact"/>
        <w:ind w:firstLine="640"/>
        <w:rPr>
          <w:rFonts w:hint="eastAsia" w:eastAsia="仿宋_GB2312" w:cs="仿宋_GB2312"/>
          <w:color w:val="auto"/>
          <w:sz w:val="32"/>
          <w:szCs w:val="32"/>
          <w:highlight w:val="none"/>
          <w:lang w:val="en-US" w:eastAsia="zh-CN"/>
        </w:rPr>
      </w:pPr>
    </w:p>
    <w:p w14:paraId="55AA9BD7">
      <w:pPr>
        <w:spacing w:line="600" w:lineRule="exact"/>
        <w:ind w:firstLine="640"/>
        <w:rPr>
          <w:rFonts w:hint="eastAsia" w:eastAsia="仿宋_GB2312" w:cs="仿宋_GB2312"/>
          <w:color w:val="auto"/>
          <w:sz w:val="32"/>
          <w:szCs w:val="32"/>
          <w:highlight w:val="none"/>
          <w:lang w:val="en-US" w:eastAsia="zh-CN"/>
        </w:rPr>
      </w:pPr>
    </w:p>
    <w:p w14:paraId="4AAC1D80">
      <w:pPr>
        <w:spacing w:line="600" w:lineRule="exact"/>
        <w:ind w:firstLine="640"/>
        <w:rPr>
          <w:rFonts w:hint="eastAsia" w:eastAsia="仿宋_GB2312" w:cs="仿宋_GB2312"/>
          <w:color w:val="auto"/>
          <w:sz w:val="32"/>
          <w:szCs w:val="32"/>
          <w:highlight w:val="none"/>
          <w:lang w:val="en-US" w:eastAsia="zh-CN"/>
        </w:rPr>
      </w:pPr>
    </w:p>
    <w:p w14:paraId="48A1F5CD">
      <w:pPr>
        <w:spacing w:line="600" w:lineRule="exact"/>
        <w:ind w:firstLine="640"/>
        <w:rPr>
          <w:rFonts w:hint="eastAsia" w:eastAsia="仿宋_GB2312" w:cs="仿宋_GB2312"/>
          <w:color w:val="auto"/>
          <w:sz w:val="32"/>
          <w:szCs w:val="32"/>
          <w:highlight w:val="none"/>
          <w:lang w:val="en-US" w:eastAsia="zh-CN"/>
        </w:rPr>
      </w:pPr>
    </w:p>
    <w:p w14:paraId="3FA4C2BA">
      <w:pPr>
        <w:spacing w:line="600" w:lineRule="exact"/>
        <w:ind w:firstLine="640"/>
        <w:rPr>
          <w:rFonts w:hint="eastAsia" w:eastAsia="仿宋_GB2312" w:cs="仿宋_GB2312"/>
          <w:color w:val="auto"/>
          <w:sz w:val="32"/>
          <w:szCs w:val="32"/>
          <w:highlight w:val="none"/>
          <w:lang w:val="en-US" w:eastAsia="zh-CN"/>
        </w:rPr>
      </w:pPr>
    </w:p>
    <w:p w14:paraId="66EE6C78">
      <w:pPr>
        <w:spacing w:line="600" w:lineRule="exact"/>
        <w:ind w:firstLine="640"/>
        <w:rPr>
          <w:rFonts w:hint="eastAsia" w:eastAsia="仿宋_GB2312" w:cs="仿宋_GB2312"/>
          <w:color w:val="auto"/>
          <w:sz w:val="32"/>
          <w:szCs w:val="32"/>
          <w:highlight w:val="none"/>
          <w:lang w:val="en-US" w:eastAsia="zh-CN"/>
        </w:rPr>
      </w:pPr>
    </w:p>
    <w:p w14:paraId="07203E06">
      <w:pPr>
        <w:spacing w:line="600" w:lineRule="exact"/>
        <w:ind w:firstLine="640"/>
        <w:rPr>
          <w:rFonts w:hint="eastAsia" w:eastAsia="仿宋_GB2312" w:cs="仿宋_GB2312"/>
          <w:color w:val="auto"/>
          <w:sz w:val="32"/>
          <w:szCs w:val="32"/>
          <w:highlight w:val="none"/>
          <w:lang w:val="en-US" w:eastAsia="zh-CN"/>
        </w:rPr>
      </w:pPr>
    </w:p>
    <w:p w14:paraId="606727E5">
      <w:pPr>
        <w:spacing w:line="600" w:lineRule="exact"/>
        <w:ind w:firstLine="1609" w:firstLineChars="503"/>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w:t>
      </w:r>
    </w:p>
    <w:p w14:paraId="1BCC28E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3"/>
    </w:p>
    <w:p w14:paraId="150F54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4" w:name="_Toc15378460"/>
      <w:bookmarkStart w:id="35" w:name="_Toc15377444"/>
      <w:bookmarkStart w:id="36"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eastAsia="仿宋_GB2312" w:cs="仿宋_GB2312"/>
          <w:color w:val="auto"/>
          <w:kern w:val="2"/>
          <w:sz w:val="32"/>
          <w:szCs w:val="32"/>
          <w:highlight w:val="none"/>
          <w:lang w:val="en-US" w:eastAsia="zh-CN" w:bidi="ar-SA"/>
        </w:rPr>
        <w:t>3730.84万元</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4"/>
      <w:bookmarkEnd w:id="35"/>
      <w:bookmarkEnd w:id="36"/>
    </w:p>
    <w:p w14:paraId="08391D4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Style w:val="18"/>
          <w:rFonts w:hint="eastAsia" w:ascii="仿宋" w:hAnsi="仿宋" w:eastAsia="仿宋" w:cs="Times New Roman"/>
          <w:bCs/>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教育支出（类）进修及培训（款）培训支出（项）: 支出决算为6万元，完成预算100%。</w:t>
      </w:r>
    </w:p>
    <w:p w14:paraId="45E6BA5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2.社会保障和就业支出（类）行政事业单位养老支出（款）事业单位离退休（项）: 支出决算为29.17万元，完成预算100%。</w:t>
      </w:r>
    </w:p>
    <w:p w14:paraId="708E63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3.社会保障和就业支出（类）行政事业单位养老支出（款）机关事业单位基本养老保险缴费支出（项）: 支出决算为100万元，完成预算100%。</w:t>
      </w:r>
    </w:p>
    <w:p w14:paraId="0EBA8E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4.社会保障和就业支出（类）行政事业单位养老支出（款）机关事业单位职业年金缴费支出（项）: 支出决算为50万元，完成预算100%。</w:t>
      </w:r>
    </w:p>
    <w:p w14:paraId="6F89F2D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5.社会保障和就业支出（类）抚恤（款）伤残抚恤（项）: 支出决算为341.5万元，完成预算100%。</w:t>
      </w:r>
    </w:p>
    <w:p w14:paraId="6F6D81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6.社会保障和就业支出（类）抚恤（款）其他优抚支出（项）: 支出决算为108.22万元，完成预算100%。</w:t>
      </w:r>
    </w:p>
    <w:p w14:paraId="5B1EE86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7.社会保障和就业支出（类）退役军人管理事务（款）事业运行（项）: 支出决算为819.59万元，完成预算100%。</w:t>
      </w:r>
    </w:p>
    <w:p w14:paraId="28EA57F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8.社会保障和就业支出（类）退役军人管理事务（款）其他退役军人事务管理支出（项）: 支出决算为1757.22万元，完成预算100%。</w:t>
      </w:r>
    </w:p>
    <w:p w14:paraId="2B60CD1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9.卫生健康支出（类）行政事业单位医疗（款）事业单位医疗（项）: 支出决算为30万元，完成预算100%。</w:t>
      </w:r>
    </w:p>
    <w:p w14:paraId="319E955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10.卫生健康支出（类）优抚对象医疗（款）优抚对象医疗补助（项）: 支出决算为413万元，完成预算100%。</w:t>
      </w:r>
    </w:p>
    <w:p w14:paraId="63A34D0C">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11.卫生健康支出（类）中医药事务（款）中医（民族医）药专项（项）: 支出决算为9.96万元，完成预算100%。</w:t>
      </w:r>
    </w:p>
    <w:p w14:paraId="25B7AFA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12.住房保障支出（类）住房改革支出（款）住房公积</w:t>
      </w:r>
      <w:r>
        <w:rPr>
          <w:rStyle w:val="18"/>
          <w:rFonts w:hint="eastAsia" w:ascii="仿宋" w:hAnsi="仿宋" w:eastAsia="仿宋" w:cs="Times New Roman"/>
          <w:b w:val="0"/>
          <w:bCs w:val="0"/>
          <w:color w:val="auto"/>
          <w:kern w:val="2"/>
          <w:sz w:val="32"/>
          <w:szCs w:val="32"/>
          <w:highlight w:val="none"/>
          <w:lang w:val="en-US" w:eastAsia="zh-CN" w:bidi="ar-SA"/>
        </w:rPr>
        <w:t>金</w:t>
      </w:r>
      <w:r>
        <w:rPr>
          <w:rFonts w:hint="eastAsia" w:ascii="Times New Roman" w:hAnsi="Times New Roman" w:eastAsia="仿宋_GB2312" w:cs="仿宋_GB2312"/>
          <w:color w:val="auto"/>
          <w:kern w:val="2"/>
          <w:sz w:val="32"/>
          <w:szCs w:val="32"/>
          <w:highlight w:val="none"/>
          <w:lang w:val="en-US" w:eastAsia="zh-CN" w:bidi="ar-SA"/>
        </w:rPr>
        <w:t>（项）: 支出决算为66.18万元，完成预算100%。</w:t>
      </w:r>
    </w:p>
    <w:p w14:paraId="02498027">
      <w:pPr>
        <w:tabs>
          <w:tab w:val="right" w:pos="8306"/>
        </w:tabs>
        <w:spacing w:line="600" w:lineRule="exact"/>
        <w:ind w:firstLine="640"/>
        <w:outlineLvl w:val="1"/>
        <w:rPr>
          <w:rStyle w:val="30"/>
          <w:rFonts w:ascii="Times New Roman" w:hAnsi="Times New Roman"/>
          <w:color w:val="auto"/>
          <w:highlight w:val="none"/>
        </w:rPr>
      </w:pPr>
      <w:bookmarkStart w:id="37" w:name="_Toc15377214"/>
      <w:bookmarkStart w:id="38" w:name="_Toc11946"/>
      <w:bookmarkStart w:id="3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7"/>
      <w:bookmarkEnd w:id="38"/>
      <w:bookmarkEnd w:id="39"/>
      <w:r>
        <w:rPr>
          <w:rStyle w:val="30"/>
          <w:rFonts w:ascii="Times New Roman" w:hAnsi="Times New Roman" w:eastAsia="黑体"/>
          <w:b w:val="0"/>
          <w:color w:val="auto"/>
          <w:highlight w:val="none"/>
        </w:rPr>
        <w:tab/>
      </w:r>
    </w:p>
    <w:p w14:paraId="12C70D0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eastAsia="仿宋_GB2312" w:cs="仿宋_GB2312"/>
          <w:color w:val="auto"/>
          <w:kern w:val="2"/>
          <w:sz w:val="32"/>
          <w:szCs w:val="32"/>
          <w:highlight w:val="none"/>
          <w:lang w:val="en-US" w:eastAsia="zh-CN" w:bidi="ar-SA"/>
        </w:rPr>
        <w:t>1100.94</w:t>
      </w:r>
      <w:r>
        <w:rPr>
          <w:rFonts w:hint="eastAsia" w:ascii="Times New Roman" w:hAnsi="Times New Roman" w:eastAsia="仿宋_GB2312" w:cs="仿宋_GB2312"/>
          <w:color w:val="auto"/>
          <w:kern w:val="2"/>
          <w:sz w:val="32"/>
          <w:szCs w:val="32"/>
          <w:highlight w:val="none"/>
          <w:lang w:val="en-US" w:eastAsia="zh-CN" w:bidi="ar-SA"/>
        </w:rPr>
        <w:t>万元，其中：</w:t>
      </w:r>
    </w:p>
    <w:p w14:paraId="6190AF83">
      <w:pPr>
        <w:spacing w:line="600" w:lineRule="exact"/>
        <w:ind w:firstLine="645"/>
        <w:rPr>
          <w:rFonts w:hint="eastAsia" w:ascii="仿宋" w:hAnsi="仿宋" w:eastAsia="仿宋"/>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eastAsia="仿宋_GB2312" w:cs="仿宋_GB2312"/>
          <w:color w:val="auto"/>
          <w:kern w:val="2"/>
          <w:sz w:val="32"/>
          <w:szCs w:val="32"/>
          <w:highlight w:val="none"/>
          <w:lang w:val="en-US" w:eastAsia="zh-CN" w:bidi="ar-SA"/>
        </w:rPr>
        <w:t>1094.94</w:t>
      </w:r>
      <w:r>
        <w:rPr>
          <w:rFonts w:hint="eastAsia" w:ascii="Times New Roman" w:hAnsi="Times New Roman" w:eastAsia="仿宋_GB2312" w:cs="仿宋_GB2312"/>
          <w:color w:val="auto"/>
          <w:kern w:val="2"/>
          <w:sz w:val="32"/>
          <w:szCs w:val="32"/>
          <w:highlight w:val="none"/>
          <w:lang w:val="en-US" w:eastAsia="zh-CN" w:bidi="ar-SA"/>
        </w:rPr>
        <w:t>万元，主要包括：</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基本工资、津贴补贴、绩效工资、机关事业单位基本养老保险缴费、职业年金缴费、职工基本医疗保险缴费</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其他工资福利支出、离休费、</w:t>
      </w:r>
      <w:r>
        <w:rPr>
          <w:rFonts w:hint="eastAsia" w:ascii="仿宋" w:hAnsi="仿宋" w:eastAsia="仿宋"/>
          <w:color w:val="000000" w:themeColor="text1"/>
          <w:sz w:val="32"/>
          <w:szCs w:val="32"/>
          <w:highlight w:val="none"/>
          <w14:textFill>
            <w14:solidFill>
              <w14:schemeClr w14:val="tx1"/>
            </w14:solidFill>
          </w14:textFill>
        </w:rPr>
        <w:t>奖励金、</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住房公积金</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其他对个人和家庭的补助支出等</w:t>
      </w:r>
      <w:r>
        <w:rPr>
          <w:rFonts w:hint="eastAsia" w:ascii="仿宋" w:hAnsi="仿宋" w:eastAsia="仿宋"/>
          <w:color w:val="auto"/>
          <w:sz w:val="32"/>
          <w:szCs w:val="32"/>
          <w:highlight w:val="none"/>
        </w:rPr>
        <w:t>。</w:t>
      </w:r>
    </w:p>
    <w:p w14:paraId="66B8A49B">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万元，主要包括：培训费。</w:t>
      </w:r>
    </w:p>
    <w:p w14:paraId="306B1DBD">
      <w:pPr>
        <w:spacing w:line="600" w:lineRule="exact"/>
        <w:ind w:firstLine="640"/>
        <w:outlineLvl w:val="1"/>
        <w:rPr>
          <w:rStyle w:val="30"/>
          <w:rFonts w:ascii="Times New Roman" w:hAnsi="Times New Roman" w:eastAsia="黑体"/>
          <w:b w:val="0"/>
          <w:color w:val="auto"/>
          <w:highlight w:val="none"/>
        </w:rPr>
      </w:pPr>
      <w:bookmarkStart w:id="40" w:name="_Toc15396609"/>
      <w:bookmarkStart w:id="41" w:name="_Toc15377215"/>
      <w:bookmarkStart w:id="42" w:name="_Toc10404"/>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0"/>
      <w:bookmarkEnd w:id="41"/>
      <w:bookmarkEnd w:id="42"/>
    </w:p>
    <w:p w14:paraId="26D3AF9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3"/>
    </w:p>
    <w:p w14:paraId="6964A909">
      <w:pPr>
        <w:spacing w:line="600" w:lineRule="exact"/>
        <w:ind w:firstLine="640"/>
        <w:rPr>
          <w:rFonts w:hint="eastAsia" w:ascii="仿宋" w:hAnsi="仿宋" w:eastAsia="仿宋"/>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万元，较上年度减少</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olor w:val="auto"/>
          <w:sz w:val="32"/>
          <w:szCs w:val="32"/>
          <w:highlight w:val="none"/>
        </w:rPr>
        <w:t>。决算数与预算数持平。</w:t>
      </w:r>
    </w:p>
    <w:p w14:paraId="4C699C5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4"/>
    </w:p>
    <w:p w14:paraId="60D7555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2024年度“三公”经费财政拨款支出决算中，因公出国（境）费支出决算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16FE05EB">
      <w:pPr>
        <w:spacing w:line="600" w:lineRule="exact"/>
        <w:ind w:firstLine="640"/>
        <w:rPr>
          <w:rFonts w:ascii="仿宋_GB2312" w:eastAsia="仿宋_GB2312"/>
          <w:color w:val="auto"/>
          <w:sz w:val="32"/>
          <w:szCs w:val="32"/>
          <w:highlight w:val="none"/>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人。因</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val="en-US" w:eastAsia="zh-CN"/>
        </w:rPr>
        <w:t>与2023年持平</w:t>
      </w:r>
      <w:r>
        <w:rPr>
          <w:rFonts w:hint="eastAsia" w:ascii="仿宋_GB2312" w:eastAsia="仿宋_GB2312"/>
          <w:color w:val="auto"/>
          <w:sz w:val="32"/>
          <w:szCs w:val="32"/>
          <w:highlight w:val="none"/>
        </w:rPr>
        <w:t>。</w:t>
      </w:r>
    </w:p>
    <w:p w14:paraId="6FBBF98D">
      <w:pPr>
        <w:spacing w:line="600" w:lineRule="exact"/>
        <w:ind w:firstLine="640"/>
        <w:rPr>
          <w:rFonts w:hint="default"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2024年公务用车运行维护费未使用财政拨款。</w:t>
      </w:r>
    </w:p>
    <w:p w14:paraId="3C4CE98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、其他车辆0辆</w:t>
      </w:r>
      <w:r>
        <w:rPr>
          <w:rFonts w:hint="eastAsia" w:ascii="Times New Roman" w:hAnsi="Times New Roman" w:eastAsia="仿宋_GB2312" w:cs="仿宋_GB2312"/>
          <w:color w:val="auto"/>
          <w:kern w:val="2"/>
          <w:sz w:val="32"/>
          <w:szCs w:val="32"/>
          <w:highlight w:val="none"/>
          <w:lang w:val="en-US" w:eastAsia="zh-CN" w:bidi="ar-SA"/>
        </w:rPr>
        <w:t>。</w:t>
      </w:r>
    </w:p>
    <w:p w14:paraId="14C10377">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万元。主要用于日常公务用车燃料费、维修费、过路过桥费、保险费等支出。</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本单位公务用车运行维护费使用非财政拨款资金列支。</w:t>
      </w:r>
    </w:p>
    <w:p w14:paraId="7E975C2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仿宋_GB2312" w:eastAsia="仿宋_GB2312"/>
          <w:color w:val="auto"/>
          <w:sz w:val="32"/>
          <w:szCs w:val="32"/>
          <w:highlight w:val="none"/>
        </w:rPr>
        <w:t>公务接待费支出决算</w:t>
      </w:r>
      <w:r>
        <w:rPr>
          <w:rFonts w:hint="eastAsia" w:ascii="仿宋_GB2312" w:eastAsia="仿宋_GB2312"/>
          <w:color w:val="auto"/>
          <w:sz w:val="32"/>
          <w:szCs w:val="32"/>
          <w:highlight w:val="none"/>
          <w:lang w:val="en-US" w:eastAsia="zh-CN"/>
        </w:rPr>
        <w:t>与2023年持平</w:t>
      </w:r>
      <w:r>
        <w:rPr>
          <w:rFonts w:hint="eastAsia" w:ascii="仿宋_GB2312" w:eastAsia="仿宋_GB2312"/>
          <w:color w:val="auto"/>
          <w:sz w:val="32"/>
          <w:szCs w:val="32"/>
          <w:highlight w:val="none"/>
        </w:rPr>
        <w:t>。</w:t>
      </w:r>
      <w:r>
        <w:rPr>
          <w:rFonts w:hint="eastAsia" w:ascii="Times New Roman" w:hAnsi="Times New Roman" w:eastAsia="仿宋_GB2312" w:cs="仿宋_GB2312"/>
          <w:color w:val="auto"/>
          <w:kern w:val="2"/>
          <w:sz w:val="32"/>
          <w:szCs w:val="32"/>
          <w:highlight w:val="none"/>
          <w:lang w:val="en-US" w:eastAsia="zh-CN" w:bidi="ar-SA"/>
        </w:rPr>
        <w:t>其中：</w:t>
      </w:r>
    </w:p>
    <w:p w14:paraId="3828D0A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万元。国内公务接待</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6C5689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万元。外事接待</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bookmarkStart w:id="45" w:name="_Toc15396610"/>
      <w:bookmarkStart w:id="46" w:name="_Toc15377218"/>
    </w:p>
    <w:p w14:paraId="2B6A276E">
      <w:pPr>
        <w:spacing w:line="600" w:lineRule="exact"/>
        <w:ind w:firstLine="640"/>
        <w:outlineLvl w:val="1"/>
        <w:rPr>
          <w:rStyle w:val="30"/>
          <w:rFonts w:ascii="Times New Roman" w:hAnsi="Times New Roman" w:eastAsia="黑体"/>
          <w:color w:val="auto"/>
          <w:highlight w:val="none"/>
        </w:rPr>
      </w:pPr>
      <w:bookmarkStart w:id="47" w:name="_Toc2441"/>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5"/>
      <w:bookmarkEnd w:id="46"/>
      <w:bookmarkEnd w:id="47"/>
    </w:p>
    <w:p w14:paraId="6D735E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2024年度政府性基金预算财政拨款支出</w:t>
      </w:r>
      <w:r>
        <w:rPr>
          <w:rFonts w:hint="eastAsia" w:eastAsia="仿宋_GB2312" w:cs="仿宋_GB2312"/>
          <w:color w:val="auto"/>
          <w:kern w:val="2"/>
          <w:sz w:val="32"/>
          <w:szCs w:val="32"/>
          <w:highlight w:val="none"/>
          <w:lang w:val="en-US" w:eastAsia="zh-CN" w:bidi="ar-SA"/>
        </w:rPr>
        <w:t>1210.87</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eastAsia="仿宋_GB2312" w:cs="仿宋_GB2312"/>
          <w:color w:val="auto"/>
          <w:kern w:val="2"/>
          <w:sz w:val="32"/>
          <w:szCs w:val="32"/>
          <w:highlight w:val="none"/>
          <w:lang w:val="en-US" w:eastAsia="zh-CN" w:bidi="ar-SA"/>
        </w:rPr>
        <w:t>13.3</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eastAsia="仿宋_GB2312" w:cs="仿宋_GB2312"/>
          <w:color w:val="auto"/>
          <w:kern w:val="2"/>
          <w:sz w:val="32"/>
          <w:szCs w:val="32"/>
          <w:highlight w:val="none"/>
          <w:lang w:val="en-US" w:eastAsia="zh-CN" w:bidi="ar-SA"/>
        </w:rPr>
        <w:t>1210.87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增加</w:t>
      </w:r>
      <w:r>
        <w:rPr>
          <w:rFonts w:hint="eastAsia" w:eastAsia="仿宋_GB2312" w:cs="仿宋_GB2312"/>
          <w:color w:val="auto"/>
          <w:sz w:val="32"/>
          <w:szCs w:val="32"/>
          <w:highlight w:val="none"/>
          <w:lang w:val="en-US" w:eastAsia="zh-CN"/>
        </w:rPr>
        <w:t>中央专项彩票公益金支持优抚医院能力提升项目资金。</w:t>
      </w:r>
    </w:p>
    <w:p w14:paraId="2BE346F8">
      <w:pPr>
        <w:numPr>
          <w:ilvl w:val="0"/>
          <w:numId w:val="0"/>
        </w:numPr>
        <w:spacing w:line="600" w:lineRule="exact"/>
        <w:ind w:left="630" w:leftChars="0"/>
        <w:outlineLvl w:val="1"/>
        <w:rPr>
          <w:rStyle w:val="30"/>
          <w:rFonts w:ascii="Times New Roman" w:hAnsi="Times New Roman" w:eastAsia="黑体"/>
          <w:b w:val="0"/>
          <w:color w:val="000000" w:themeColor="text1"/>
          <w:highlight w:val="none"/>
          <w14:textFill>
            <w14:solidFill>
              <w14:schemeClr w14:val="tx1"/>
            </w14:solidFill>
          </w14:textFill>
        </w:rPr>
      </w:pPr>
      <w:bookmarkStart w:id="48" w:name="_Toc6992"/>
      <w:bookmarkStart w:id="49" w:name="_Toc15377219"/>
      <w:bookmarkStart w:id="50" w:name="_Toc15396611"/>
      <w:r>
        <w:rPr>
          <w:rStyle w:val="30"/>
          <w:rFonts w:hint="eastAsia" w:ascii="Times New Roman" w:hAnsi="Times New Roman" w:eastAsia="黑体"/>
          <w:b w:val="0"/>
          <w:color w:val="000000" w:themeColor="text1"/>
          <w:highlight w:val="none"/>
          <w:lang w:eastAsia="zh-CN"/>
          <w14:textFill>
            <w14:solidFill>
              <w14:schemeClr w14:val="tx1"/>
            </w14:solidFill>
          </w14:textFill>
        </w:rPr>
        <w:t>九、</w:t>
      </w:r>
      <w:r>
        <w:rPr>
          <w:rStyle w:val="30"/>
          <w:rFonts w:hint="eastAsia" w:ascii="Times New Roman" w:hAnsi="Times New Roman" w:eastAsia="黑体"/>
          <w:b w:val="0"/>
          <w:color w:val="000000" w:themeColor="text1"/>
          <w:highlight w:val="none"/>
          <w14:textFill>
            <w14:solidFill>
              <w14:schemeClr w14:val="tx1"/>
            </w14:solidFill>
          </w14:textFill>
        </w:rPr>
        <w:t>国有资本经营预算支出决算情况说明</w:t>
      </w:r>
      <w:bookmarkEnd w:id="48"/>
      <w:bookmarkEnd w:id="49"/>
      <w:bookmarkEnd w:id="50"/>
    </w:p>
    <w:p w14:paraId="6234E46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2024年度国有资本经营预算财政拨款支出</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0</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万元。</w:t>
      </w:r>
    </w:p>
    <w:p w14:paraId="1B14332C">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51" w:name="_Toc15396612"/>
      <w:bookmarkStart w:id="52" w:name="_Toc15377221"/>
      <w:bookmarkStart w:id="53" w:name="_Toc9673"/>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51"/>
      <w:bookmarkEnd w:id="52"/>
      <w:bookmarkEnd w:id="53"/>
    </w:p>
    <w:p w14:paraId="1428DC6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4" w:name="_Toc15377222"/>
      <w:r>
        <w:rPr>
          <w:rFonts w:hint="eastAsia" w:ascii="Times New Roman" w:hAnsi="Times New Roman" w:eastAsia="楷体_GB2312" w:cs="楷体_GB2312"/>
          <w:b/>
          <w:color w:val="auto"/>
          <w:sz w:val="32"/>
          <w:szCs w:val="32"/>
          <w:highlight w:val="none"/>
        </w:rPr>
        <w:t>（一）机关运行经费支出情况</w:t>
      </w:r>
      <w:bookmarkEnd w:id="54"/>
    </w:p>
    <w:p w14:paraId="6603EED2">
      <w:pPr>
        <w:spacing w:line="600" w:lineRule="exact"/>
        <w:ind w:firstLine="640"/>
        <w:rPr>
          <w:rFonts w:hint="eastAsia" w:ascii="仿宋_GB2312" w:eastAsia="仿宋_GB2312"/>
          <w:color w:val="auto"/>
          <w:sz w:val="32"/>
          <w:szCs w:val="32"/>
          <w:highlight w:val="none"/>
        </w:rPr>
      </w:pPr>
      <w:bookmarkStart w:id="55" w:name="_Toc15377223"/>
      <w:r>
        <w:rPr>
          <w:rFonts w:hint="eastAsia" w:eastAsia="仿宋_GB2312" w:cs="仿宋_GB2312"/>
          <w:color w:val="auto"/>
          <w:kern w:val="2"/>
          <w:sz w:val="32"/>
          <w:szCs w:val="32"/>
          <w:highlight w:val="none"/>
          <w:lang w:val="en-US" w:eastAsia="zh-CN" w:bidi="ar-SA"/>
        </w:rPr>
        <w:t>2024年度，</w:t>
      </w:r>
      <w:r>
        <w:rPr>
          <w:rFonts w:hint="eastAsia" w:ascii="Times New Roman" w:hAnsi="Times New Roman" w:eastAsia="仿宋_GB2312" w:cs="仿宋_GB2312"/>
          <w:color w:val="auto"/>
          <w:kern w:val="2"/>
          <w:sz w:val="32"/>
          <w:szCs w:val="32"/>
          <w:highlight w:val="none"/>
          <w:lang w:val="en-US" w:eastAsia="zh-CN" w:bidi="ar-SA"/>
        </w:rPr>
        <w:t>四川省第三退役军人医院（四川省退役军人康复中心、四川省第三荣军优抚医院）机关运行经费支出</w:t>
      </w:r>
      <w:r>
        <w:rPr>
          <w:rFonts w:hint="eastAsia" w:ascii="仿宋_GB2312" w:eastAsia="仿宋_GB2312"/>
          <w:color w:val="auto"/>
          <w:sz w:val="32"/>
          <w:szCs w:val="32"/>
          <w:highlight w:val="none"/>
          <w:lang w:val="en-US" w:eastAsia="zh-CN"/>
        </w:rPr>
        <w:t>0万元，</w:t>
      </w:r>
      <w:r>
        <w:rPr>
          <w:rFonts w:hint="eastAsia" w:ascii="Times New Roman" w:hAnsi="Times New Roman" w:eastAsia="仿宋_GB2312" w:cs="仿宋_GB2312"/>
          <w:color w:val="auto"/>
          <w:kern w:val="2"/>
          <w:sz w:val="32"/>
          <w:szCs w:val="32"/>
          <w:highlight w:val="none"/>
          <w:lang w:val="en-US" w:eastAsia="zh-CN" w:bidi="ar-SA"/>
        </w:rPr>
        <w:t>主要原因</w:t>
      </w:r>
      <w:r>
        <w:rPr>
          <w:rFonts w:hint="eastAsia" w:eastAsia="仿宋_GB2312" w:cs="仿宋_GB2312"/>
          <w:color w:val="auto"/>
          <w:kern w:val="2"/>
          <w:sz w:val="32"/>
          <w:szCs w:val="32"/>
          <w:highlight w:val="none"/>
          <w:lang w:val="en-US" w:eastAsia="zh-CN" w:bidi="ar-SA"/>
        </w:rPr>
        <w:t>为</w:t>
      </w:r>
      <w:r>
        <w:rPr>
          <w:rFonts w:hint="eastAsia" w:ascii="仿宋_GB2312" w:eastAsia="仿宋_GB2312"/>
          <w:color w:val="auto"/>
          <w:sz w:val="32"/>
          <w:szCs w:val="32"/>
          <w:highlight w:val="none"/>
        </w:rPr>
        <w:t>事业单位，未开支机关运行经费。</w:t>
      </w:r>
    </w:p>
    <w:p w14:paraId="1601F3C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bookmarkEnd w:id="55"/>
    </w:p>
    <w:p w14:paraId="1F6CC4E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2024年度，四川省第三退役军人医院（四川省退役军人康复中心、四川省第三荣军优抚医院）政府采购支出总额</w:t>
      </w:r>
      <w:r>
        <w:rPr>
          <w:rFonts w:hint="eastAsia" w:eastAsia="仿宋_GB2312" w:cs="仿宋_GB2312"/>
          <w:color w:val="auto"/>
          <w:kern w:val="2"/>
          <w:sz w:val="32"/>
          <w:szCs w:val="32"/>
          <w:highlight w:val="none"/>
          <w:lang w:val="en-US" w:eastAsia="zh-CN" w:bidi="ar-SA"/>
        </w:rPr>
        <w:t>3711.14</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eastAsia="仿宋_GB2312" w:cs="仿宋_GB2312"/>
          <w:color w:val="auto"/>
          <w:kern w:val="2"/>
          <w:sz w:val="32"/>
          <w:szCs w:val="32"/>
          <w:highlight w:val="none"/>
          <w:lang w:val="en-US" w:eastAsia="zh-CN" w:bidi="ar-SA"/>
        </w:rPr>
        <w:t>1568.72</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eastAsia="仿宋_GB2312" w:cs="仿宋_GB2312"/>
          <w:color w:val="auto"/>
          <w:kern w:val="2"/>
          <w:sz w:val="32"/>
          <w:szCs w:val="32"/>
          <w:highlight w:val="none"/>
          <w:lang w:val="en-US" w:eastAsia="zh-CN" w:bidi="ar-SA"/>
        </w:rPr>
        <w:t>2124.18</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eastAsia="仿宋_GB2312" w:cs="仿宋_GB2312"/>
          <w:color w:val="auto"/>
          <w:kern w:val="2"/>
          <w:sz w:val="32"/>
          <w:szCs w:val="32"/>
          <w:highlight w:val="none"/>
          <w:lang w:val="en-US" w:eastAsia="zh-CN" w:bidi="ar-SA"/>
        </w:rPr>
        <w:t>18.24</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val="en-US" w:eastAsia="zh-CN"/>
        </w:rPr>
        <w:t>购置医疗设备、维修改造、</w:t>
      </w:r>
      <w:r>
        <w:rPr>
          <w:rFonts w:hint="eastAsia" w:ascii="仿宋_GB2312" w:eastAsia="仿宋_GB2312"/>
          <w:color w:val="auto"/>
          <w:sz w:val="32"/>
          <w:szCs w:val="32"/>
          <w:highlight w:val="none"/>
        </w:rPr>
        <w:t>公务用车运行维护</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荣军休养楼建设</w:t>
      </w:r>
      <w:r>
        <w:rPr>
          <w:rFonts w:hint="eastAsia" w:ascii="Times New Roman" w:hAnsi="Times New Roman" w:eastAsia="仿宋_GB2312" w:cs="仿宋_GB2312"/>
          <w:color w:val="auto"/>
          <w:kern w:val="2"/>
          <w:sz w:val="32"/>
          <w:szCs w:val="32"/>
          <w:highlight w:val="none"/>
          <w:lang w:val="en-US" w:eastAsia="zh-CN" w:bidi="ar-SA"/>
        </w:rPr>
        <w:t>。授予中小企业合同金额</w:t>
      </w:r>
      <w:r>
        <w:rPr>
          <w:rFonts w:hint="eastAsia" w:eastAsia="仿宋_GB2312" w:cs="仿宋_GB2312"/>
          <w:color w:val="auto"/>
          <w:kern w:val="2"/>
          <w:sz w:val="32"/>
          <w:szCs w:val="32"/>
          <w:highlight w:val="none"/>
          <w:lang w:val="en-US" w:eastAsia="zh-CN" w:bidi="ar-SA"/>
        </w:rPr>
        <w:t>958.36</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25.8</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eastAsia="仿宋_GB2312" w:cs="仿宋_GB2312"/>
          <w:color w:val="auto"/>
          <w:kern w:val="2"/>
          <w:sz w:val="32"/>
          <w:szCs w:val="32"/>
          <w:highlight w:val="none"/>
          <w:lang w:val="en-US" w:eastAsia="zh-CN" w:bidi="ar-SA"/>
        </w:rPr>
        <w:t>7.81</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w:t>
      </w:r>
    </w:p>
    <w:p w14:paraId="6ACEFFA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24"/>
      <w:r>
        <w:rPr>
          <w:rFonts w:hint="eastAsia" w:ascii="Times New Roman" w:hAnsi="Times New Roman" w:eastAsia="楷体_GB2312" w:cs="楷体_GB2312"/>
          <w:b/>
          <w:color w:val="auto"/>
          <w:sz w:val="32"/>
          <w:szCs w:val="32"/>
          <w:highlight w:val="none"/>
        </w:rPr>
        <w:t>（三）国有资产占有使用情况</w:t>
      </w:r>
      <w:bookmarkEnd w:id="56"/>
    </w:p>
    <w:p w14:paraId="2F231C8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年12月31日，四川省第三退役军人医院（四川省退役军人康复中心、四川省第三荣军优抚医院）共有车辆</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辆，其中：应急保障用车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辆、其他用车</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辆，其他用车主要是用于</w:t>
      </w:r>
      <w:r>
        <w:rPr>
          <w:rFonts w:hint="eastAsia" w:ascii="仿宋_GB2312" w:eastAsia="仿宋_GB2312"/>
          <w:color w:val="auto"/>
          <w:sz w:val="32"/>
          <w:szCs w:val="32"/>
          <w:highlight w:val="none"/>
        </w:rPr>
        <w:t>巡回医疗用车</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以上设备（不含车辆）</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台（套）。</w:t>
      </w:r>
    </w:p>
    <w:p w14:paraId="33B4689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BD0EF64">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根据预算绩效管理要求，四川省第三退役军人医院（四川省退役军人康复中心、四川省第三荣军优抚医院）在2024年度预算编制阶段，组织对优抚安置事业单位维修改造和设备购置（311904）</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个项目开展绩效监控，组织对</w:t>
      </w:r>
      <w:r>
        <w:rPr>
          <w:rFonts w:hint="eastAsia" w:eastAsia="仿宋_GB2312" w:cs="仿宋_GB2312"/>
          <w:color w:val="auto"/>
          <w:kern w:val="2"/>
          <w:sz w:val="32"/>
          <w:szCs w:val="32"/>
          <w:highlight w:val="none"/>
          <w:lang w:val="en-US" w:eastAsia="zh-CN" w:bidi="ar-SA"/>
        </w:rPr>
        <w:t>10个</w:t>
      </w:r>
      <w:r>
        <w:rPr>
          <w:rFonts w:hint="eastAsia" w:ascii="Times New Roman" w:hAnsi="Times New Roman" w:eastAsia="仿宋_GB2312" w:cs="仿宋_GB2312"/>
          <w:color w:val="auto"/>
          <w:kern w:val="2"/>
          <w:sz w:val="32"/>
          <w:szCs w:val="32"/>
          <w:highlight w:val="none"/>
          <w:lang w:val="en-US" w:eastAsia="zh-CN" w:bidi="ar-SA"/>
        </w:rPr>
        <w:t>项目</w:t>
      </w:r>
      <w:r>
        <w:rPr>
          <w:rFonts w:hint="eastAsia" w:eastAsia="仿宋_GB2312" w:cs="仿宋_GB2312"/>
          <w:color w:val="auto"/>
          <w:kern w:val="2"/>
          <w:sz w:val="32"/>
          <w:szCs w:val="32"/>
          <w:highlight w:val="none"/>
          <w:lang w:val="en-US" w:eastAsia="zh-CN" w:bidi="ar-SA"/>
        </w:rPr>
        <w:t>开展</w:t>
      </w:r>
      <w:r>
        <w:rPr>
          <w:rFonts w:hint="eastAsia" w:ascii="Times New Roman" w:hAnsi="Times New Roman" w:eastAsia="仿宋_GB2312" w:cs="仿宋_GB2312"/>
          <w:color w:val="auto"/>
          <w:kern w:val="2"/>
          <w:sz w:val="32"/>
          <w:szCs w:val="32"/>
          <w:highlight w:val="none"/>
          <w:lang w:val="en-US" w:eastAsia="zh-CN" w:bidi="ar-SA"/>
        </w:rPr>
        <w:t>绩效自评</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绩效自评</w:t>
      </w:r>
      <w:r>
        <w:rPr>
          <w:rFonts w:hint="eastAsia" w:eastAsia="仿宋_GB2312" w:cs="仿宋_GB2312"/>
          <w:color w:val="auto"/>
          <w:kern w:val="2"/>
          <w:sz w:val="32"/>
          <w:szCs w:val="32"/>
          <w:highlight w:val="none"/>
          <w:lang w:val="en-US" w:eastAsia="zh-CN" w:bidi="ar-SA"/>
        </w:rPr>
        <w:t>表</w:t>
      </w:r>
      <w:r>
        <w:rPr>
          <w:rFonts w:hint="eastAsia" w:ascii="Times New Roman" w:hAnsi="Times New Roman" w:eastAsia="仿宋_GB2312" w:cs="仿宋_GB2312"/>
          <w:color w:val="auto"/>
          <w:kern w:val="2"/>
          <w:sz w:val="32"/>
          <w:szCs w:val="32"/>
          <w:highlight w:val="none"/>
          <w:lang w:val="en-US" w:eastAsia="zh-CN" w:bidi="ar-SA"/>
        </w:rPr>
        <w:t>详见</w:t>
      </w:r>
      <w:r>
        <w:rPr>
          <w:rFonts w:hint="eastAsia" w:eastAsia="仿宋_GB2312" w:cs="仿宋_GB2312"/>
          <w:color w:val="auto"/>
          <w:kern w:val="2"/>
          <w:sz w:val="32"/>
          <w:szCs w:val="32"/>
          <w:highlight w:val="none"/>
          <w:lang w:val="en-US" w:eastAsia="zh-CN" w:bidi="ar-SA"/>
        </w:rPr>
        <w:t>第四部分</w:t>
      </w:r>
      <w:r>
        <w:rPr>
          <w:rFonts w:hint="eastAsia" w:ascii="Times New Roman" w:hAnsi="Times New Roman" w:eastAsia="仿宋_GB2312" w:cs="仿宋_GB2312"/>
          <w:color w:val="auto"/>
          <w:kern w:val="2"/>
          <w:sz w:val="32"/>
          <w:szCs w:val="32"/>
          <w:highlight w:val="none"/>
          <w:lang w:val="en-US" w:eastAsia="zh-CN" w:bidi="ar-SA"/>
        </w:rPr>
        <w:t>附件。</w:t>
      </w:r>
    </w:p>
    <w:p w14:paraId="0F40313C">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p>
    <w:p w14:paraId="2F050BE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B173C2">
      <w:pPr>
        <w:pStyle w:val="2"/>
        <w:rPr>
          <w:rFonts w:hint="eastAsia" w:ascii="Times New Roman" w:hAnsi="Times New Roman" w:eastAsia="仿宋_GB2312" w:cs="仿宋_GB2312"/>
          <w:color w:val="auto"/>
          <w:kern w:val="2"/>
          <w:sz w:val="32"/>
          <w:szCs w:val="32"/>
          <w:highlight w:val="none"/>
          <w:lang w:val="en-US" w:eastAsia="zh-CN" w:bidi="ar-SA"/>
        </w:rPr>
      </w:pPr>
    </w:p>
    <w:p w14:paraId="656FDE38">
      <w:pPr>
        <w:pStyle w:val="3"/>
        <w:rPr>
          <w:rFonts w:hint="eastAsia" w:ascii="Times New Roman" w:hAnsi="Times New Roman" w:eastAsia="仿宋_GB2312" w:cs="仿宋_GB2312"/>
          <w:color w:val="auto"/>
          <w:kern w:val="2"/>
          <w:sz w:val="32"/>
          <w:szCs w:val="32"/>
          <w:highlight w:val="none"/>
          <w:lang w:val="en-US" w:eastAsia="zh-CN" w:bidi="ar-SA"/>
        </w:rPr>
      </w:pPr>
    </w:p>
    <w:p w14:paraId="788B1AD8">
      <w:pPr>
        <w:pStyle w:val="3"/>
        <w:rPr>
          <w:rFonts w:hint="eastAsia" w:ascii="Times New Roman" w:hAnsi="Times New Roman" w:eastAsia="仿宋_GB2312" w:cs="仿宋_GB2312"/>
          <w:color w:val="auto"/>
          <w:kern w:val="2"/>
          <w:sz w:val="32"/>
          <w:szCs w:val="32"/>
          <w:highlight w:val="none"/>
          <w:lang w:val="en-US" w:eastAsia="zh-CN" w:bidi="ar-SA"/>
        </w:rPr>
      </w:pPr>
    </w:p>
    <w:p w14:paraId="2C62236C">
      <w:pPr>
        <w:pStyle w:val="3"/>
        <w:rPr>
          <w:rFonts w:hint="eastAsia" w:ascii="Times New Roman" w:hAnsi="Times New Roman" w:eastAsia="仿宋_GB2312" w:cs="仿宋_GB2312"/>
          <w:color w:val="auto"/>
          <w:kern w:val="2"/>
          <w:sz w:val="32"/>
          <w:szCs w:val="32"/>
          <w:highlight w:val="none"/>
          <w:lang w:val="en-US" w:eastAsia="zh-CN" w:bidi="ar-SA"/>
        </w:rPr>
      </w:pPr>
    </w:p>
    <w:p w14:paraId="3EB7DA26">
      <w:pPr>
        <w:pStyle w:val="3"/>
        <w:rPr>
          <w:rFonts w:hint="eastAsia" w:ascii="Times New Roman" w:hAnsi="Times New Roman" w:eastAsia="仿宋_GB2312" w:cs="仿宋_GB2312"/>
          <w:color w:val="auto"/>
          <w:kern w:val="2"/>
          <w:sz w:val="32"/>
          <w:szCs w:val="32"/>
          <w:highlight w:val="none"/>
          <w:lang w:val="en-US" w:eastAsia="zh-CN" w:bidi="ar-SA"/>
        </w:rPr>
      </w:pPr>
    </w:p>
    <w:p w14:paraId="465D7AE4">
      <w:pPr>
        <w:pStyle w:val="3"/>
        <w:rPr>
          <w:rFonts w:hint="eastAsia" w:ascii="Times New Roman" w:hAnsi="Times New Roman" w:eastAsia="仿宋_GB2312" w:cs="仿宋_GB2312"/>
          <w:color w:val="auto"/>
          <w:kern w:val="2"/>
          <w:sz w:val="32"/>
          <w:szCs w:val="32"/>
          <w:highlight w:val="none"/>
          <w:lang w:val="en-US" w:eastAsia="zh-CN" w:bidi="ar-SA"/>
        </w:rPr>
      </w:pPr>
    </w:p>
    <w:p w14:paraId="59B40234">
      <w:pPr>
        <w:pStyle w:val="3"/>
        <w:rPr>
          <w:rFonts w:hint="eastAsia" w:ascii="Times New Roman" w:hAnsi="Times New Roman" w:eastAsia="仿宋_GB2312" w:cs="仿宋_GB2312"/>
          <w:color w:val="auto"/>
          <w:kern w:val="2"/>
          <w:sz w:val="32"/>
          <w:szCs w:val="32"/>
          <w:highlight w:val="none"/>
          <w:lang w:val="en-US" w:eastAsia="zh-CN" w:bidi="ar-SA"/>
        </w:rPr>
      </w:pPr>
    </w:p>
    <w:p w14:paraId="6A8CAEB4">
      <w:pPr>
        <w:pStyle w:val="3"/>
        <w:rPr>
          <w:rFonts w:hint="eastAsia" w:ascii="Times New Roman" w:hAnsi="Times New Roman" w:eastAsia="仿宋_GB2312" w:cs="仿宋_GB2312"/>
          <w:color w:val="auto"/>
          <w:kern w:val="2"/>
          <w:sz w:val="32"/>
          <w:szCs w:val="32"/>
          <w:highlight w:val="none"/>
          <w:lang w:val="en-US" w:eastAsia="zh-CN" w:bidi="ar-SA"/>
        </w:rPr>
      </w:pPr>
    </w:p>
    <w:p w14:paraId="3C94BCF1">
      <w:pPr>
        <w:pStyle w:val="3"/>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14:paraId="47554C94">
      <w:pPr>
        <w:pStyle w:val="3"/>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14:paraId="3933B9B4">
      <w:pPr>
        <w:pStyle w:val="5"/>
        <w:bidi w:val="0"/>
        <w:jc w:val="center"/>
        <w:rPr>
          <w:rFonts w:ascii="Times New Roman" w:hAnsi="Times New Roman"/>
          <w:b/>
          <w:color w:val="auto"/>
          <w:sz w:val="44"/>
          <w:szCs w:val="44"/>
          <w:highlight w:val="none"/>
        </w:rPr>
      </w:pPr>
      <w:bookmarkStart w:id="57" w:name="_Toc15377225"/>
      <w:bookmarkStart w:id="58" w:name="_Toc15396613"/>
      <w:bookmarkStart w:id="59" w:name="_Toc28513"/>
      <w:r>
        <w:rPr>
          <w:rFonts w:hint="eastAsia"/>
        </w:rPr>
        <w:t>第</w:t>
      </w:r>
      <w:r>
        <w:rPr>
          <w:rFonts w:hint="eastAsia"/>
          <w:lang w:eastAsia="zh-CN"/>
        </w:rPr>
        <w:t>三</w:t>
      </w:r>
      <w:r>
        <w:rPr>
          <w:rFonts w:hint="eastAsia"/>
        </w:rPr>
        <w:t>部分</w:t>
      </w:r>
      <w:r>
        <w:rPr>
          <w:rFonts w:hint="eastAsia"/>
          <w:lang w:val="en-US" w:eastAsia="zh-CN"/>
        </w:rPr>
        <w:t xml:space="preserve">  </w:t>
      </w:r>
      <w:r>
        <w:rPr>
          <w:rFonts w:hint="eastAsia"/>
        </w:rPr>
        <w:t>名词解释</w:t>
      </w:r>
      <w:bookmarkEnd w:id="57"/>
      <w:bookmarkEnd w:id="58"/>
      <w:bookmarkEnd w:id="59"/>
    </w:p>
    <w:p w14:paraId="4D69B74A">
      <w:pPr>
        <w:spacing w:line="600" w:lineRule="exact"/>
        <w:ind w:firstLine="640" w:firstLineChars="200"/>
        <w:outlineLvl w:val="9"/>
        <w:rPr>
          <w:rFonts w:hint="eastAsia" w:ascii="仿宋_GB2312" w:hAnsi="Times New Roman" w:eastAsia="仿宋_GB2312" w:cs="Times New Roman"/>
          <w:color w:val="auto"/>
          <w:sz w:val="32"/>
          <w:szCs w:val="32"/>
          <w:highlight w:val="none"/>
          <w:lang w:eastAsia="zh-CN"/>
        </w:rPr>
      </w:pPr>
      <w:bookmarkStart w:id="60" w:name="_Toc28159"/>
      <w:bookmarkStart w:id="61" w:name="_Toc15377226"/>
      <w:r>
        <w:rPr>
          <w:rFonts w:hint="eastAsia" w:ascii="Times New Roman" w:hAnsi="Times New Roman" w:eastAsia="仿宋_GB2312" w:cs="Times New Roman"/>
          <w:color w:val="auto"/>
          <w:sz w:val="32"/>
          <w:szCs w:val="32"/>
          <w:highlight w:val="none"/>
          <w:lang w:eastAsia="zh-CN"/>
        </w:rPr>
        <w:t>1.</w:t>
      </w:r>
      <w:r>
        <w:rPr>
          <w:rFonts w:hint="eastAsia" w:ascii="仿宋_GB2312" w:hAnsi="Times New Roman" w:eastAsia="仿宋_GB2312" w:cs="Times New Roman"/>
          <w:color w:val="auto"/>
          <w:sz w:val="32"/>
          <w:szCs w:val="32"/>
          <w:highlight w:val="none"/>
          <w:lang w:eastAsia="zh-CN"/>
        </w:rPr>
        <w:t>财政拨款收入：指单位从同级财政部门取得的财政预算资金。</w:t>
      </w:r>
      <w:bookmarkEnd w:id="60"/>
    </w:p>
    <w:p w14:paraId="26404FF5">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2.</w:t>
      </w:r>
      <w:r>
        <w:rPr>
          <w:rFonts w:hint="eastAsia" w:ascii="仿宋_GB2312" w:hAnsi="Times New Roman" w:eastAsia="仿宋_GB2312" w:cs="Times New Roman"/>
          <w:color w:val="auto"/>
          <w:sz w:val="32"/>
          <w:szCs w:val="32"/>
          <w:highlight w:val="none"/>
          <w:lang w:eastAsia="zh-CN"/>
        </w:rPr>
        <w:t>事业收入：指事业单位开展</w:t>
      </w:r>
      <w:r>
        <w:rPr>
          <w:rFonts w:hint="eastAsia" w:ascii="仿宋_GB2312" w:eastAsia="仿宋_GB2312" w:cs="Times New Roman"/>
          <w:color w:val="auto"/>
          <w:sz w:val="32"/>
          <w:szCs w:val="32"/>
          <w:highlight w:val="none"/>
          <w:lang w:val="en-US" w:eastAsia="zh-CN"/>
        </w:rPr>
        <w:t>医疗、养老、疗养等服务</w:t>
      </w:r>
      <w:r>
        <w:rPr>
          <w:rFonts w:hint="eastAsia" w:ascii="仿宋_GB2312" w:hAnsi="Times New Roman" w:eastAsia="仿宋_GB2312" w:cs="Times New Roman"/>
          <w:color w:val="auto"/>
          <w:sz w:val="32"/>
          <w:szCs w:val="32"/>
          <w:highlight w:val="none"/>
          <w:lang w:eastAsia="zh-CN"/>
        </w:rPr>
        <w:t>取得的收入。</w:t>
      </w:r>
    </w:p>
    <w:p w14:paraId="109AD152">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3.</w:t>
      </w:r>
      <w:r>
        <w:rPr>
          <w:rFonts w:hint="eastAsia" w:ascii="仿宋_GB2312" w:hAnsi="Times New Roman" w:eastAsia="仿宋_GB2312" w:cs="Times New Roman"/>
          <w:color w:val="auto"/>
          <w:sz w:val="32"/>
          <w:szCs w:val="32"/>
          <w:highlight w:val="none"/>
          <w:lang w:eastAsia="zh-CN"/>
        </w:rPr>
        <w:t xml:space="preserve">使用非财政拨款结余：指事业单位使用以前年度积累的非财政拨款结余弥补当年收支差额的金额。 </w:t>
      </w:r>
    </w:p>
    <w:p w14:paraId="31DFA297">
      <w:pPr>
        <w:spacing w:line="600" w:lineRule="exact"/>
        <w:ind w:firstLine="640" w:firstLineChars="200"/>
        <w:rPr>
          <w:rFonts w:hint="default"/>
          <w:lang w:val="en-US" w:eastAsia="zh-CN"/>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教育支出（类）进修及培训（款）培训支出（项）</w:t>
      </w:r>
      <w:r>
        <w:rPr>
          <w:rFonts w:hint="eastAsia" w:ascii="仿宋_GB2312" w:hAnsi="Times New Roman" w:eastAsia="仿宋_GB2312" w:cs="Times New Roman"/>
          <w:color w:val="auto"/>
          <w:sz w:val="32"/>
          <w:szCs w:val="32"/>
          <w:highlight w:val="none"/>
          <w:lang w:eastAsia="zh-CN"/>
        </w:rPr>
        <w:t>：指事业单位</w:t>
      </w:r>
      <w:r>
        <w:rPr>
          <w:rFonts w:hint="eastAsia" w:ascii="仿宋_GB2312" w:eastAsia="仿宋_GB2312" w:cs="Times New Roman"/>
          <w:color w:val="auto"/>
          <w:sz w:val="32"/>
          <w:szCs w:val="32"/>
          <w:highlight w:val="none"/>
          <w:lang w:val="en-US" w:eastAsia="zh-CN"/>
        </w:rPr>
        <w:t>安排用于培训的支出。</w:t>
      </w:r>
      <w:r>
        <w:rPr>
          <w:rFonts w:hint="eastAsia" w:ascii="仿宋_GB2312" w:hAnsi="Times New Roman" w:eastAsia="仿宋_GB2312" w:cs="Times New Roman"/>
          <w:color w:val="auto"/>
          <w:sz w:val="32"/>
          <w:szCs w:val="32"/>
          <w:highlight w:val="none"/>
          <w:lang w:eastAsia="zh-CN"/>
        </w:rPr>
        <w:t xml:space="preserve"> </w:t>
      </w:r>
    </w:p>
    <w:p w14:paraId="638269A3">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5.</w:t>
      </w:r>
      <w:r>
        <w:rPr>
          <w:rFonts w:hint="eastAsia" w:ascii="仿宋_GB2312" w:hAnsi="Times New Roman" w:eastAsia="仿宋_GB2312" w:cs="Times New Roman"/>
          <w:color w:val="auto"/>
          <w:sz w:val="32"/>
          <w:szCs w:val="32"/>
          <w:highlight w:val="none"/>
          <w:lang w:eastAsia="zh-CN"/>
        </w:rPr>
        <w:t>社会保障和就业支出（类）行政事业单位养老支出（款）事业单位离退休（项）：指事业单位开支的离退休经费。</w:t>
      </w:r>
    </w:p>
    <w:p w14:paraId="76497856">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6.社</w:t>
      </w:r>
      <w:r>
        <w:rPr>
          <w:rFonts w:hint="eastAsia" w:ascii="仿宋_GB2312" w:hAnsi="Times New Roman" w:eastAsia="仿宋_GB2312" w:cs="Times New Roman"/>
          <w:color w:val="auto"/>
          <w:sz w:val="32"/>
          <w:szCs w:val="32"/>
          <w:highlight w:val="none"/>
          <w:lang w:eastAsia="zh-CN"/>
        </w:rPr>
        <w:t>会保障和就业支出（类）行政事业单位养老支出（款）机关事业单位基本养老保险缴费支出（项）：指机关事业单位实施养老制度由单位缴纳的基本养老保险费支出。</w:t>
      </w:r>
    </w:p>
    <w:p w14:paraId="33BDCE8C">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7.</w:t>
      </w:r>
      <w:r>
        <w:rPr>
          <w:rFonts w:hint="eastAsia" w:ascii="仿宋_GB2312" w:hAnsi="Times New Roman" w:eastAsia="仿宋_GB2312" w:cs="Times New Roman"/>
          <w:color w:val="auto"/>
          <w:sz w:val="32"/>
          <w:szCs w:val="32"/>
          <w:highlight w:val="none"/>
          <w:lang w:eastAsia="zh-CN"/>
        </w:rPr>
        <w:t>社会保障和就业支出（类）行政事业单位养老支出（款）机关事业单位职业年金缴费支出（项）：指机关事业单位实施养老保险制度由单位实际缴纳的职业年金支出。</w:t>
      </w:r>
    </w:p>
    <w:p w14:paraId="6F807111">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8.</w:t>
      </w:r>
      <w:r>
        <w:rPr>
          <w:rFonts w:hint="eastAsia" w:ascii="仿宋_GB2312" w:hAnsi="Times New Roman" w:eastAsia="仿宋_GB2312" w:cs="Times New Roman"/>
          <w:color w:val="auto"/>
          <w:sz w:val="32"/>
          <w:szCs w:val="32"/>
          <w:highlight w:val="none"/>
          <w:lang w:eastAsia="zh-CN"/>
        </w:rPr>
        <w:t>社会保障和就业支出（类）抚恤（款）伤残抚恤（项）：指按规定用于伤残人员的抚恤金和按规定开支的各种伤残补助费。     </w:t>
      </w:r>
    </w:p>
    <w:p w14:paraId="509E43C1">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9.</w:t>
      </w:r>
      <w:r>
        <w:rPr>
          <w:rFonts w:hint="eastAsia" w:ascii="仿宋_GB2312" w:hAnsi="Times New Roman" w:eastAsia="仿宋_GB2312" w:cs="Times New Roman"/>
          <w:color w:val="auto"/>
          <w:sz w:val="32"/>
          <w:szCs w:val="32"/>
          <w:highlight w:val="none"/>
          <w:lang w:eastAsia="zh-CN"/>
        </w:rPr>
        <w:t>社会保障和就业支出（类）抚恤（款）其他优抚支出（项）：指其他用于优抚方面的支出。</w:t>
      </w:r>
    </w:p>
    <w:p w14:paraId="27D8B9C0">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10.</w:t>
      </w:r>
      <w:r>
        <w:rPr>
          <w:rFonts w:hint="eastAsia" w:ascii="仿宋_GB2312" w:hAnsi="Times New Roman" w:eastAsia="仿宋_GB2312" w:cs="Times New Roman"/>
          <w:color w:val="auto"/>
          <w:sz w:val="32"/>
          <w:szCs w:val="32"/>
          <w:highlight w:val="none"/>
          <w:lang w:eastAsia="zh-CN"/>
        </w:rPr>
        <w:t>社会保障和就业支出（类）退役军人管理事务（款）事业运行（项）：指事业单位的基本支出，不包括行政单位（包括实行公务员管理的事业单位）后勤服务中心、医疗室等附属事业单位。</w:t>
      </w:r>
    </w:p>
    <w:p w14:paraId="44919905">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11.</w:t>
      </w:r>
      <w:r>
        <w:rPr>
          <w:rFonts w:hint="eastAsia" w:ascii="仿宋_GB2312" w:hAnsi="Times New Roman" w:eastAsia="仿宋_GB2312" w:cs="Times New Roman"/>
          <w:color w:val="auto"/>
          <w:sz w:val="32"/>
          <w:szCs w:val="32"/>
          <w:highlight w:val="none"/>
          <w:lang w:eastAsia="zh-CN"/>
        </w:rPr>
        <w:t>社会保障和就业支出（类）退役军人管理事务（款）其他退役军人事务管理支出（项）：指其他用于退役军人事务管理方面的支出。</w:t>
      </w:r>
    </w:p>
    <w:p w14:paraId="5F996539">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12.</w:t>
      </w:r>
      <w:r>
        <w:rPr>
          <w:rFonts w:hint="eastAsia" w:ascii="仿宋_GB2312" w:hAnsi="Times New Roman" w:eastAsia="仿宋_GB2312" w:cs="Times New Roman"/>
          <w:color w:val="auto"/>
          <w:sz w:val="32"/>
          <w:szCs w:val="32"/>
          <w:highlight w:val="none"/>
          <w:lang w:eastAsia="zh-CN"/>
        </w:rPr>
        <w:t>社会保障和就业支出（类）其他社会保障和就业支出（款）其他社会保障和就业支出（项）：指其他用于社会保障和就业方面的支出。</w:t>
      </w:r>
    </w:p>
    <w:p w14:paraId="027448DD">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13.</w:t>
      </w:r>
      <w:r>
        <w:rPr>
          <w:rFonts w:hint="eastAsia" w:ascii="仿宋_GB2312" w:hAnsi="Times New Roman" w:eastAsia="仿宋_GB2312" w:cs="Times New Roman"/>
          <w:color w:val="auto"/>
          <w:sz w:val="32"/>
          <w:szCs w:val="32"/>
          <w:highlight w:val="none"/>
          <w:lang w:eastAsia="zh-CN"/>
        </w:rPr>
        <w:t>卫生健康支出（类）行政事业单位医疗（款）事业单位医疗（项）：指财政部门安排的事业单位基本医疗保险缴费经费，未参加医疗保险的事业单位的公费医疗经费，按国家规定享受离休人员待遇的医疗经费。</w:t>
      </w:r>
    </w:p>
    <w:p w14:paraId="04B07948">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14.</w:t>
      </w:r>
      <w:r>
        <w:rPr>
          <w:rFonts w:hint="eastAsia" w:ascii="仿宋_GB2312" w:hAnsi="Times New Roman" w:eastAsia="仿宋_GB2312" w:cs="Times New Roman"/>
          <w:color w:val="auto"/>
          <w:sz w:val="32"/>
          <w:szCs w:val="32"/>
          <w:highlight w:val="none"/>
          <w:lang w:eastAsia="zh-CN"/>
        </w:rPr>
        <w:t>卫生健康支出（类）优抚对象医疗（款）优抚对象医疗补助（项）：指按规定补助优抚对象的医疗经费。</w:t>
      </w:r>
    </w:p>
    <w:p w14:paraId="0659DFA5">
      <w:pPr>
        <w:spacing w:line="600" w:lineRule="exact"/>
        <w:ind w:firstLine="640" w:firstLineChars="200"/>
        <w:rPr>
          <w:rFonts w:hint="default" w:ascii="仿宋_GB2312"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15.</w:t>
      </w:r>
      <w:r>
        <w:rPr>
          <w:rFonts w:hint="eastAsia" w:ascii="仿宋_GB2312" w:hAnsi="Times New Roman" w:eastAsia="仿宋_GB2312" w:cs="Times New Roman"/>
          <w:color w:val="auto"/>
          <w:sz w:val="32"/>
          <w:szCs w:val="32"/>
          <w:highlight w:val="none"/>
          <w:lang w:val="en-US" w:eastAsia="zh-CN"/>
        </w:rPr>
        <w:t>卫生健康支出（类）中医药事务（款）中医（民族医）药专项（项）:</w:t>
      </w:r>
      <w:r>
        <w:rPr>
          <w:rFonts w:hint="eastAsia" w:ascii="仿宋_GB2312" w:eastAsia="仿宋_GB2312" w:cs="Times New Roman"/>
          <w:color w:val="auto"/>
          <w:sz w:val="32"/>
          <w:szCs w:val="32"/>
          <w:highlight w:val="none"/>
          <w:lang w:val="en-US" w:eastAsia="zh-CN"/>
        </w:rPr>
        <w:t>指中医（民族医）药方面的专项支出。</w:t>
      </w:r>
    </w:p>
    <w:p w14:paraId="5EC18621">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16.</w:t>
      </w:r>
      <w:r>
        <w:rPr>
          <w:rFonts w:hint="eastAsia" w:ascii="仿宋_GB2312" w:hAnsi="Times New Roman" w:eastAsia="仿宋_GB2312" w:cs="Times New Roman"/>
          <w:color w:val="auto"/>
          <w:sz w:val="32"/>
          <w:szCs w:val="32"/>
          <w:highlight w:val="none"/>
          <w:lang w:eastAsia="zh-CN"/>
        </w:rPr>
        <w:t>住房保障支出（类）住房改革支出（款）住房公积金（项）：指行政事业单位按人力资源和社会保障部、财政部规定的基本工资和津贴补贴以及规定比例为职工缴纳的住房公积金。</w:t>
      </w:r>
    </w:p>
    <w:p w14:paraId="479768DB">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17.</w:t>
      </w:r>
      <w:r>
        <w:rPr>
          <w:rFonts w:hint="eastAsia" w:ascii="仿宋_GB2312" w:eastAsia="仿宋_GB2312" w:cs="Times New Roman"/>
          <w:color w:val="auto"/>
          <w:sz w:val="32"/>
          <w:szCs w:val="32"/>
          <w:highlight w:val="none"/>
          <w:lang w:val="en-US" w:eastAsia="zh-CN"/>
        </w:rPr>
        <w:t>其他</w:t>
      </w:r>
      <w:r>
        <w:rPr>
          <w:rFonts w:hint="eastAsia" w:ascii="仿宋_GB2312" w:hAnsi="Times New Roman" w:eastAsia="仿宋_GB2312" w:cs="Times New Roman"/>
          <w:color w:val="auto"/>
          <w:sz w:val="32"/>
          <w:szCs w:val="32"/>
          <w:highlight w:val="none"/>
          <w:lang w:eastAsia="zh-CN"/>
        </w:rPr>
        <w:t>支出（类）</w:t>
      </w:r>
      <w:r>
        <w:rPr>
          <w:rFonts w:hint="eastAsia" w:ascii="仿宋_GB2312" w:eastAsia="仿宋_GB2312" w:cs="Times New Roman"/>
          <w:color w:val="auto"/>
          <w:sz w:val="32"/>
          <w:szCs w:val="32"/>
          <w:highlight w:val="none"/>
          <w:lang w:val="en-US" w:eastAsia="zh-CN"/>
        </w:rPr>
        <w:t>彩票公益金安排的支出</w:t>
      </w:r>
      <w:r>
        <w:rPr>
          <w:rFonts w:hint="eastAsia" w:ascii="仿宋_GB2312" w:hAnsi="Times New Roman" w:eastAsia="仿宋_GB2312" w:cs="Times New Roman"/>
          <w:color w:val="auto"/>
          <w:sz w:val="32"/>
          <w:szCs w:val="32"/>
          <w:highlight w:val="none"/>
          <w:lang w:eastAsia="zh-CN"/>
        </w:rPr>
        <w:t>（款）</w:t>
      </w:r>
      <w:r>
        <w:rPr>
          <w:rFonts w:hint="eastAsia" w:ascii="仿宋_GB2312" w:eastAsia="仿宋_GB2312" w:cs="Times New Roman"/>
          <w:color w:val="auto"/>
          <w:sz w:val="32"/>
          <w:szCs w:val="32"/>
          <w:highlight w:val="none"/>
          <w:lang w:val="en-US" w:eastAsia="zh-CN"/>
        </w:rPr>
        <w:t>用于社会福利的彩票公益金支出</w:t>
      </w:r>
      <w:r>
        <w:rPr>
          <w:rFonts w:hint="eastAsia" w:ascii="仿宋_GB2312" w:hAnsi="Times New Roman" w:eastAsia="仿宋_GB2312" w:cs="Times New Roman"/>
          <w:color w:val="auto"/>
          <w:sz w:val="32"/>
          <w:szCs w:val="32"/>
          <w:highlight w:val="none"/>
          <w:lang w:eastAsia="zh-CN"/>
        </w:rPr>
        <w:t>（项）：指</w:t>
      </w:r>
      <w:r>
        <w:rPr>
          <w:rFonts w:hint="eastAsia" w:ascii="仿宋_GB2312" w:eastAsia="仿宋_GB2312" w:cs="Times New Roman"/>
          <w:color w:val="auto"/>
          <w:sz w:val="32"/>
          <w:szCs w:val="32"/>
          <w:highlight w:val="none"/>
          <w:lang w:val="en-US" w:eastAsia="zh-CN"/>
        </w:rPr>
        <w:t>用于社会福利和社会救助的彩票公益金支出</w:t>
      </w:r>
      <w:r>
        <w:rPr>
          <w:rFonts w:hint="eastAsia" w:ascii="仿宋_GB2312" w:hAnsi="Times New Roman" w:eastAsia="仿宋_GB2312" w:cs="Times New Roman"/>
          <w:color w:val="auto"/>
          <w:sz w:val="32"/>
          <w:szCs w:val="32"/>
          <w:highlight w:val="none"/>
          <w:lang w:eastAsia="zh-CN"/>
        </w:rPr>
        <w:t>。</w:t>
      </w:r>
    </w:p>
    <w:p w14:paraId="2AC451FB">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18.</w:t>
      </w:r>
      <w:r>
        <w:rPr>
          <w:rFonts w:hint="eastAsia" w:ascii="仿宋_GB2312" w:hAnsi="Times New Roman" w:eastAsia="仿宋_GB2312" w:cs="Times New Roman"/>
          <w:color w:val="auto"/>
          <w:sz w:val="32"/>
          <w:szCs w:val="32"/>
          <w:highlight w:val="none"/>
          <w:lang w:eastAsia="zh-CN"/>
        </w:rPr>
        <w:t>基本支出：指为保障机构正常运转、完成日常工作任务而发生的人员支出和公用支出。</w:t>
      </w:r>
    </w:p>
    <w:p w14:paraId="392DC664">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19.</w:t>
      </w:r>
      <w:r>
        <w:rPr>
          <w:rFonts w:hint="eastAsia" w:ascii="仿宋_GB2312" w:hAnsi="Times New Roman" w:eastAsia="仿宋_GB2312" w:cs="Times New Roman"/>
          <w:color w:val="auto"/>
          <w:sz w:val="32"/>
          <w:szCs w:val="32"/>
          <w:highlight w:val="none"/>
          <w:lang w:eastAsia="zh-CN"/>
        </w:rPr>
        <w:t xml:space="preserve">项目支出：指在基本支出之外为完成特定行政任务和事业发展目标所发生的支出。 </w:t>
      </w:r>
    </w:p>
    <w:p w14:paraId="2C206566">
      <w:pPr>
        <w:spacing w:line="600" w:lineRule="exact"/>
        <w:ind w:firstLine="640" w:firstLineChars="200"/>
        <w:rPr>
          <w:rFonts w:hint="eastAsia" w:ascii="仿宋_GB2312"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20.</w:t>
      </w:r>
      <w:r>
        <w:rPr>
          <w:rFonts w:hint="eastAsia" w:ascii="仿宋_GB2312" w:hAnsi="Times New Roman" w:eastAsia="仿宋_GB2312" w:cs="Times New Roman"/>
          <w:color w:val="auto"/>
          <w:sz w:val="32"/>
          <w:szCs w:val="32"/>
          <w:highlight w:val="none"/>
          <w:lang w:eastAsia="zh-CN"/>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路过桥费、保险费等支出；公务接待费反映单位按规定开支的各类公务接待（含外宾接待）支出。</w:t>
      </w:r>
    </w:p>
    <w:p w14:paraId="00F270E7">
      <w:pPr>
        <w:pStyle w:val="5"/>
        <w:bidi w:val="0"/>
        <w:jc w:val="center"/>
        <w:rPr>
          <w:rFonts w:hint="eastAsia" w:ascii="Times New Roman" w:hAnsi="Times New Roman" w:eastAsia="黑体"/>
          <w:color w:val="auto"/>
          <w:szCs w:val="44"/>
          <w:highlight w:val="none"/>
        </w:rPr>
      </w:pPr>
      <w:r>
        <w:rPr>
          <w:rFonts w:hint="eastAsia" w:ascii="Times New Roman" w:hAnsi="Times New Roman" w:eastAsia="仿宋_GB2312" w:cs="仿宋_GB2312"/>
          <w:color w:val="auto"/>
          <w:kern w:val="2"/>
          <w:szCs w:val="32"/>
          <w:highlight w:val="none"/>
          <w:lang w:val="en-US" w:eastAsia="zh-CN" w:bidi="ar-SA"/>
        </w:rPr>
        <w:br w:type="page"/>
      </w:r>
      <w:bookmarkStart w:id="62" w:name="_Toc7747"/>
      <w:bookmarkStart w:id="63" w:name="_Toc15396614"/>
      <w:r>
        <w:rPr>
          <w:rFonts w:hint="eastAsia"/>
        </w:rPr>
        <w:t>第四部分</w:t>
      </w:r>
      <w:r>
        <w:rPr>
          <w:rFonts w:hint="eastAsia"/>
          <w:lang w:val="en-US" w:eastAsia="zh-CN"/>
        </w:rPr>
        <w:t xml:space="preserve"> </w:t>
      </w:r>
      <w:r>
        <w:rPr>
          <w:rFonts w:hint="eastAsia"/>
        </w:rPr>
        <w:t xml:space="preserve"> 附件</w:t>
      </w:r>
      <w:bookmarkEnd w:id="62"/>
      <w:bookmarkEnd w:id="63"/>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4"/>
        <w:gridCol w:w="961"/>
        <w:gridCol w:w="936"/>
        <w:gridCol w:w="963"/>
        <w:gridCol w:w="401"/>
        <w:gridCol w:w="845"/>
        <w:gridCol w:w="697"/>
        <w:gridCol w:w="905"/>
        <w:gridCol w:w="395"/>
        <w:gridCol w:w="665"/>
        <w:gridCol w:w="1180"/>
      </w:tblGrid>
      <w:tr w14:paraId="67381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F6034B">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98F8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2B8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5372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51000021T000000102424-重点优抚对象疗养经费</w:t>
            </w:r>
          </w:p>
        </w:tc>
      </w:tr>
      <w:tr w14:paraId="62019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9D1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677A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12E9D5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58D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6857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5A2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D18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652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F4C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14:paraId="0A03D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5"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B002A">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B2870">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CFA9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了弘扬正能量，体现重点优抚对象疗养活动的褒扬性，有效提高全省重点优抚对象服务保障水平，支持国防和军队建设、促进社会和谐稳定，在全社会积极营造拥军、爱军氛围，根据《军人抚恤优待条例》、《民政部关于建立重点优抚对象疗养制度的意见》（民发〔2014〕52号）等文件精神，结合我院实际，根据年度重点工作任务，计划疗养人数260人，每期10天。</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98C4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我院按照年初计划，完成了全省重点优抚对象290人，开展5期，为期10天疗养活动，疗养活动有序推进，严格落实各项安排，完成年初计划目标，充分体现对优抚对象的关怀。</w:t>
            </w:r>
          </w:p>
        </w:tc>
      </w:tr>
      <w:tr w14:paraId="29560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5"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DE2F8">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9C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19AE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了把崇尚英雄、学习英雄、关爱英雄落到实处，有效提高全省重点优抚对象服务水平，全省重点优抚对象分别于4月8-4月17日、5月8日-5月17日、5月20日-5月29日分三批次完成240人疗养，8月5日-8月9日完成25名烈士子女研学活动，9月22日-9月30日完成25名烈士家属疗养活动。疗养项目开展了包括健康体检、康复理疗、心理疏导、红色文化教育、主题教育、参观见学、休闲娱乐等，旨在提升优抚对象的身心健康。实施过程中，严格按计划分批次组织，配备专业医护团队，提供个性化服务，确保活动安全有序，充分体现对优抚对象的尊崇与关爱。</w:t>
            </w:r>
          </w:p>
        </w:tc>
      </w:tr>
      <w:tr w14:paraId="5C1E5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54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4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5C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31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FE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C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6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8C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E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42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3E61F">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67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4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7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3E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BB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C9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B9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32B43">
            <w:pPr>
              <w:rPr>
                <w:rFonts w:hint="eastAsia" w:ascii="宋体" w:hAnsi="宋体" w:eastAsia="宋体" w:cs="宋体"/>
                <w:i w:val="0"/>
                <w:iCs w:val="0"/>
                <w:color w:val="000000"/>
                <w:sz w:val="18"/>
                <w:szCs w:val="18"/>
                <w:u w:val="none"/>
              </w:rPr>
            </w:pPr>
          </w:p>
        </w:tc>
      </w:tr>
      <w:tr w14:paraId="6CBC2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07F11">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EB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4D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5B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5D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B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B3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89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83EF5">
            <w:pPr>
              <w:rPr>
                <w:rFonts w:hint="eastAsia" w:ascii="宋体" w:hAnsi="宋体" w:eastAsia="宋体" w:cs="宋体"/>
                <w:i w:val="0"/>
                <w:iCs w:val="0"/>
                <w:color w:val="000000"/>
                <w:sz w:val="18"/>
                <w:szCs w:val="18"/>
                <w:u w:val="none"/>
              </w:rPr>
            </w:pPr>
          </w:p>
        </w:tc>
      </w:tr>
      <w:tr w14:paraId="6CE31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B2322">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9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EB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DB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21A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79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9F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25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DD9AA">
            <w:pPr>
              <w:rPr>
                <w:rFonts w:hint="eastAsia" w:ascii="宋体" w:hAnsi="宋体" w:eastAsia="宋体" w:cs="宋体"/>
                <w:i w:val="0"/>
                <w:iCs w:val="0"/>
                <w:color w:val="000000"/>
                <w:sz w:val="18"/>
                <w:szCs w:val="18"/>
                <w:u w:val="none"/>
              </w:rPr>
            </w:pPr>
          </w:p>
        </w:tc>
      </w:tr>
      <w:tr w14:paraId="06163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CDB7E">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DC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44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93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108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C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3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F1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A7E80">
            <w:pPr>
              <w:rPr>
                <w:rFonts w:hint="eastAsia" w:ascii="宋体" w:hAnsi="宋体" w:eastAsia="宋体" w:cs="宋体"/>
                <w:i w:val="0"/>
                <w:iCs w:val="0"/>
                <w:color w:val="000000"/>
                <w:sz w:val="18"/>
                <w:szCs w:val="18"/>
                <w:u w:val="none"/>
              </w:rPr>
            </w:pPr>
          </w:p>
        </w:tc>
      </w:tr>
      <w:tr w14:paraId="7BC2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A713B">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D1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9EB92">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95F17">
            <w:pPr>
              <w:jc w:val="center"/>
              <w:rPr>
                <w:rFonts w:hint="eastAsia" w:ascii="宋体" w:hAnsi="宋体" w:eastAsia="宋体" w:cs="宋体"/>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DFA53">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72B8">
            <w:pPr>
              <w:jc w:val="center"/>
              <w:rPr>
                <w:rFonts w:hint="eastAsia" w:ascii="宋体" w:hAnsi="宋体" w:eastAsia="宋体" w:cs="宋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A4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D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FF2E7">
            <w:pPr>
              <w:rPr>
                <w:rFonts w:hint="eastAsia" w:ascii="宋体" w:hAnsi="宋体" w:eastAsia="宋体" w:cs="宋体"/>
                <w:i w:val="0"/>
                <w:iCs w:val="0"/>
                <w:color w:val="000000"/>
                <w:sz w:val="18"/>
                <w:szCs w:val="18"/>
                <w:u w:val="none"/>
              </w:rPr>
            </w:pPr>
          </w:p>
        </w:tc>
      </w:tr>
      <w:tr w14:paraId="65478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74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95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77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8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73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2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E5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60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A8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4B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2B36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45F5D">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B8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D3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96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疗养期次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01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5A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B6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期</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3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24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72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B12C">
            <w:pPr>
              <w:jc w:val="center"/>
              <w:rPr>
                <w:rFonts w:hint="eastAsia" w:ascii="宋体" w:hAnsi="宋体" w:eastAsia="宋体" w:cs="宋体"/>
                <w:i w:val="0"/>
                <w:iCs w:val="0"/>
                <w:color w:val="000000"/>
                <w:sz w:val="18"/>
                <w:szCs w:val="18"/>
                <w:u w:val="none"/>
              </w:rPr>
            </w:pPr>
          </w:p>
        </w:tc>
      </w:tr>
      <w:tr w14:paraId="3645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539F9">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C7D71">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30B80">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60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疗养人数</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25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F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3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7D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D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97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5868A">
            <w:pPr>
              <w:jc w:val="center"/>
              <w:rPr>
                <w:rFonts w:hint="eastAsia" w:ascii="宋体" w:hAnsi="宋体" w:eastAsia="宋体" w:cs="宋体"/>
                <w:i w:val="0"/>
                <w:iCs w:val="0"/>
                <w:color w:val="000000"/>
                <w:sz w:val="18"/>
                <w:szCs w:val="18"/>
                <w:u w:val="none"/>
              </w:rPr>
            </w:pPr>
          </w:p>
        </w:tc>
      </w:tr>
      <w:tr w14:paraId="30398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4F53E">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D02BA">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B2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3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对各类优抚对象疗养标准按规定执行率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26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E5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E9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F3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11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66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4BC3">
            <w:pPr>
              <w:jc w:val="center"/>
              <w:rPr>
                <w:rFonts w:hint="eastAsia" w:ascii="宋体" w:hAnsi="宋体" w:eastAsia="宋体" w:cs="宋体"/>
                <w:i w:val="0"/>
                <w:iCs w:val="0"/>
                <w:color w:val="000000"/>
                <w:sz w:val="18"/>
                <w:szCs w:val="18"/>
                <w:u w:val="none"/>
              </w:rPr>
            </w:pPr>
          </w:p>
        </w:tc>
      </w:tr>
      <w:tr w14:paraId="4199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A7647">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4722E">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A6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46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项目完成时间</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55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08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B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F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A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85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1EBD7">
            <w:pPr>
              <w:jc w:val="center"/>
              <w:rPr>
                <w:rFonts w:hint="eastAsia" w:ascii="宋体" w:hAnsi="宋体" w:eastAsia="宋体" w:cs="宋体"/>
                <w:i w:val="0"/>
                <w:iCs w:val="0"/>
                <w:color w:val="000000"/>
                <w:sz w:val="18"/>
                <w:szCs w:val="18"/>
                <w:u w:val="none"/>
              </w:rPr>
            </w:pPr>
          </w:p>
        </w:tc>
      </w:tr>
      <w:tr w14:paraId="17498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22BE6">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0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F0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35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提升疗养对象幸福指数</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01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01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A71CD">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6A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5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97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B57E">
            <w:pPr>
              <w:jc w:val="center"/>
              <w:rPr>
                <w:rFonts w:hint="eastAsia" w:ascii="宋体" w:hAnsi="宋体" w:eastAsia="宋体" w:cs="宋体"/>
                <w:i w:val="0"/>
                <w:iCs w:val="0"/>
                <w:color w:val="000000"/>
                <w:sz w:val="18"/>
                <w:szCs w:val="18"/>
                <w:u w:val="none"/>
              </w:rPr>
            </w:pPr>
          </w:p>
        </w:tc>
      </w:tr>
      <w:tr w14:paraId="0F74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53B64">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A7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68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7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27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C4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5A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6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34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C9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80936">
            <w:pPr>
              <w:jc w:val="center"/>
              <w:rPr>
                <w:rFonts w:hint="eastAsia" w:ascii="宋体" w:hAnsi="宋体" w:eastAsia="宋体" w:cs="宋体"/>
                <w:i w:val="0"/>
                <w:iCs w:val="0"/>
                <w:color w:val="000000"/>
                <w:sz w:val="18"/>
                <w:szCs w:val="18"/>
                <w:u w:val="none"/>
              </w:rPr>
            </w:pPr>
          </w:p>
        </w:tc>
      </w:tr>
      <w:tr w14:paraId="10F15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BA1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89A80">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CEA9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5883A">
            <w:pPr>
              <w:rPr>
                <w:rFonts w:hint="eastAsia" w:ascii="宋体" w:hAnsi="宋体" w:eastAsia="宋体" w:cs="宋体"/>
                <w:i w:val="0"/>
                <w:iCs w:val="0"/>
                <w:color w:val="000000"/>
                <w:sz w:val="18"/>
                <w:szCs w:val="18"/>
                <w:u w:val="none"/>
              </w:rPr>
            </w:pPr>
          </w:p>
        </w:tc>
      </w:tr>
      <w:tr w14:paraId="38914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C9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5CC6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总评价得分：100分。服务对象满意度高， 增强了优抚对象的荣誉感和归属感，体现了社会尊崇与关怀。  </w:t>
            </w:r>
          </w:p>
        </w:tc>
      </w:tr>
      <w:tr w14:paraId="13FD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B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BF0F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活动内容个性化不足，因为服务对象年龄、健康状况差异较大，现有活动安排未能完全满足个性化需求。</w:t>
            </w:r>
          </w:p>
        </w:tc>
      </w:tr>
      <w:tr w14:paraId="70B8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C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E4ED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加强活动前沟通，了解服务对象需求，优化活动安排。</w:t>
            </w:r>
          </w:p>
        </w:tc>
      </w:tr>
      <w:tr w14:paraId="3C9DD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2C7B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项目负责人：陶丽红</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06ED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财务负责人：韦佳</w:t>
            </w:r>
          </w:p>
        </w:tc>
      </w:tr>
      <w:tr w14:paraId="62150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570674CA">
            <w:pPr>
              <w:rPr>
                <w:rFonts w:hint="eastAsia" w:ascii="宋体" w:hAnsi="宋体" w:eastAsia="宋体" w:cs="宋体"/>
                <w:i w:val="0"/>
                <w:iCs w:val="0"/>
                <w:color w:val="000000"/>
                <w:sz w:val="18"/>
                <w:szCs w:val="18"/>
                <w:u w:val="none"/>
              </w:rPr>
            </w:pPr>
          </w:p>
          <w:p w14:paraId="64E7B772">
            <w:pPr>
              <w:pStyle w:val="2"/>
              <w:rPr>
                <w:rFonts w:hint="eastAsia" w:ascii="宋体" w:hAnsi="宋体" w:eastAsia="宋体" w:cs="宋体"/>
                <w:i w:val="0"/>
                <w:iCs w:val="0"/>
                <w:color w:val="000000"/>
                <w:sz w:val="18"/>
                <w:szCs w:val="18"/>
                <w:u w:val="none"/>
              </w:rPr>
            </w:pPr>
          </w:p>
          <w:p w14:paraId="35AD4098">
            <w:pPr>
              <w:pStyle w:val="3"/>
              <w:rPr>
                <w:rFonts w:hint="eastAsia" w:ascii="宋体" w:hAnsi="宋体" w:eastAsia="宋体" w:cs="宋体"/>
                <w:i w:val="0"/>
                <w:iCs w:val="0"/>
                <w:color w:val="000000"/>
                <w:sz w:val="18"/>
                <w:szCs w:val="18"/>
                <w:u w:val="none"/>
              </w:rPr>
            </w:pPr>
          </w:p>
          <w:p w14:paraId="7EA721FC">
            <w:pPr>
              <w:pStyle w:val="3"/>
              <w:rPr>
                <w:rFonts w:hint="eastAsia" w:ascii="宋体" w:hAnsi="宋体" w:eastAsia="宋体" w:cs="宋体"/>
                <w:i w:val="0"/>
                <w:iCs w:val="0"/>
                <w:color w:val="000000"/>
                <w:sz w:val="18"/>
                <w:szCs w:val="18"/>
                <w:u w:val="none"/>
              </w:rPr>
            </w:pPr>
          </w:p>
          <w:p w14:paraId="28B8FFFD">
            <w:pPr>
              <w:pStyle w:val="3"/>
              <w:rPr>
                <w:rFonts w:hint="eastAsia" w:ascii="宋体" w:hAnsi="宋体" w:eastAsia="宋体" w:cs="宋体"/>
                <w:i w:val="0"/>
                <w:iCs w:val="0"/>
                <w:color w:val="000000"/>
                <w:sz w:val="18"/>
                <w:szCs w:val="18"/>
                <w:u w:val="none"/>
              </w:rPr>
            </w:pPr>
          </w:p>
          <w:p w14:paraId="2A3F1711">
            <w:pPr>
              <w:pStyle w:val="3"/>
              <w:rPr>
                <w:rFonts w:hint="eastAsia" w:ascii="宋体" w:hAnsi="宋体" w:eastAsia="宋体" w:cs="宋体"/>
                <w:i w:val="0"/>
                <w:iCs w:val="0"/>
                <w:color w:val="000000"/>
                <w:sz w:val="18"/>
                <w:szCs w:val="18"/>
                <w:u w:val="none"/>
              </w:rPr>
            </w:pPr>
          </w:p>
          <w:p w14:paraId="07135E80">
            <w:pPr>
              <w:pStyle w:val="3"/>
              <w:ind w:left="0" w:leftChars="0" w:firstLine="0" w:firstLineChars="0"/>
              <w:rPr>
                <w:rFonts w:hint="eastAsia" w:ascii="宋体" w:hAnsi="宋体" w:eastAsia="宋体" w:cs="宋体"/>
                <w:i w:val="0"/>
                <w:iCs w:val="0"/>
                <w:color w:val="000000"/>
                <w:sz w:val="18"/>
                <w:szCs w:val="18"/>
                <w:u w:val="none"/>
              </w:rPr>
            </w:pPr>
          </w:p>
          <w:p w14:paraId="36EE9B8E">
            <w:pPr>
              <w:pStyle w:val="3"/>
              <w:rPr>
                <w:rFonts w:hint="eastAsia" w:ascii="宋体" w:hAnsi="宋体" w:eastAsia="宋体" w:cs="宋体"/>
                <w:i w:val="0"/>
                <w:iCs w:val="0"/>
                <w:color w:val="000000"/>
                <w:sz w:val="18"/>
                <w:szCs w:val="18"/>
                <w:u w:val="none"/>
              </w:rPr>
            </w:pPr>
          </w:p>
        </w:tc>
        <w:tc>
          <w:tcPr>
            <w:tcW w:w="563" w:type="pct"/>
            <w:tcBorders>
              <w:top w:val="nil"/>
              <w:left w:val="nil"/>
              <w:bottom w:val="nil"/>
              <w:right w:val="nil"/>
            </w:tcBorders>
            <w:shd w:val="clear" w:color="auto" w:fill="auto"/>
            <w:vAlign w:val="center"/>
          </w:tcPr>
          <w:p w14:paraId="3387C8F9">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24EB0886">
            <w:pPr>
              <w:rPr>
                <w:rFonts w:hint="eastAsia" w:ascii="宋体" w:hAnsi="宋体" w:eastAsia="宋体" w:cs="宋体"/>
                <w:i w:val="0"/>
                <w:iCs w:val="0"/>
                <w:color w:val="000000"/>
                <w:sz w:val="18"/>
                <w:szCs w:val="18"/>
                <w:u w:val="none"/>
              </w:rPr>
            </w:pPr>
          </w:p>
        </w:tc>
        <w:tc>
          <w:tcPr>
            <w:tcW w:w="565" w:type="pct"/>
            <w:tcBorders>
              <w:top w:val="nil"/>
              <w:left w:val="nil"/>
              <w:bottom w:val="nil"/>
              <w:right w:val="nil"/>
            </w:tcBorders>
            <w:shd w:val="clear" w:color="auto" w:fill="auto"/>
            <w:vAlign w:val="center"/>
          </w:tcPr>
          <w:p w14:paraId="197232DC">
            <w:pPr>
              <w:rPr>
                <w:rFonts w:hint="eastAsia" w:ascii="宋体" w:hAnsi="宋体" w:eastAsia="宋体" w:cs="宋体"/>
                <w:i w:val="0"/>
                <w:iCs w:val="0"/>
                <w:color w:val="000000"/>
                <w:sz w:val="18"/>
                <w:szCs w:val="18"/>
                <w:u w:val="none"/>
              </w:rPr>
            </w:pPr>
          </w:p>
        </w:tc>
        <w:tc>
          <w:tcPr>
            <w:tcW w:w="235" w:type="pct"/>
            <w:tcBorders>
              <w:top w:val="nil"/>
              <w:left w:val="nil"/>
              <w:bottom w:val="nil"/>
              <w:right w:val="nil"/>
            </w:tcBorders>
            <w:shd w:val="clear" w:color="auto" w:fill="auto"/>
            <w:vAlign w:val="center"/>
          </w:tcPr>
          <w:p w14:paraId="7A84BC37">
            <w:pPr>
              <w:rPr>
                <w:rFonts w:hint="eastAsia" w:ascii="宋体" w:hAnsi="宋体" w:eastAsia="宋体" w:cs="宋体"/>
                <w:i w:val="0"/>
                <w:iCs w:val="0"/>
                <w:color w:val="000000"/>
                <w:sz w:val="18"/>
                <w:szCs w:val="18"/>
                <w:u w:val="none"/>
              </w:rPr>
            </w:pPr>
          </w:p>
        </w:tc>
        <w:tc>
          <w:tcPr>
            <w:tcW w:w="495" w:type="pct"/>
            <w:tcBorders>
              <w:top w:val="nil"/>
              <w:left w:val="nil"/>
              <w:bottom w:val="nil"/>
              <w:right w:val="nil"/>
            </w:tcBorders>
            <w:shd w:val="clear" w:color="auto" w:fill="auto"/>
            <w:vAlign w:val="center"/>
          </w:tcPr>
          <w:p w14:paraId="302227EC">
            <w:pPr>
              <w:rPr>
                <w:rFonts w:hint="eastAsia" w:ascii="宋体" w:hAnsi="宋体" w:eastAsia="宋体" w:cs="宋体"/>
                <w:i w:val="0"/>
                <w:iCs w:val="0"/>
                <w:color w:val="000000"/>
                <w:sz w:val="18"/>
                <w:szCs w:val="18"/>
                <w:u w:val="none"/>
              </w:rPr>
            </w:pPr>
          </w:p>
        </w:tc>
        <w:tc>
          <w:tcPr>
            <w:tcW w:w="408" w:type="pct"/>
            <w:tcBorders>
              <w:top w:val="nil"/>
              <w:left w:val="nil"/>
              <w:bottom w:val="nil"/>
              <w:right w:val="nil"/>
            </w:tcBorders>
            <w:shd w:val="clear" w:color="auto" w:fill="auto"/>
            <w:vAlign w:val="center"/>
          </w:tcPr>
          <w:p w14:paraId="1059C453">
            <w:pPr>
              <w:rPr>
                <w:rFonts w:hint="eastAsia" w:ascii="宋体" w:hAnsi="宋体" w:eastAsia="宋体" w:cs="宋体"/>
                <w:i w:val="0"/>
                <w:iCs w:val="0"/>
                <w:color w:val="000000"/>
                <w:sz w:val="18"/>
                <w:szCs w:val="18"/>
                <w:u w:val="none"/>
              </w:rPr>
            </w:pPr>
          </w:p>
        </w:tc>
        <w:tc>
          <w:tcPr>
            <w:tcW w:w="530" w:type="pct"/>
            <w:tcBorders>
              <w:top w:val="nil"/>
              <w:left w:val="nil"/>
              <w:bottom w:val="nil"/>
              <w:right w:val="nil"/>
            </w:tcBorders>
            <w:shd w:val="clear" w:color="auto" w:fill="auto"/>
            <w:vAlign w:val="center"/>
          </w:tcPr>
          <w:p w14:paraId="1AEBEEA6">
            <w:pPr>
              <w:rPr>
                <w:rFonts w:hint="eastAsia" w:ascii="宋体" w:hAnsi="宋体" w:eastAsia="宋体" w:cs="宋体"/>
                <w:i w:val="0"/>
                <w:iCs w:val="0"/>
                <w:color w:val="000000"/>
                <w:sz w:val="18"/>
                <w:szCs w:val="18"/>
                <w:u w:val="none"/>
              </w:rPr>
            </w:pPr>
          </w:p>
        </w:tc>
        <w:tc>
          <w:tcPr>
            <w:tcW w:w="231" w:type="pct"/>
            <w:tcBorders>
              <w:top w:val="nil"/>
              <w:left w:val="nil"/>
              <w:bottom w:val="nil"/>
              <w:right w:val="nil"/>
            </w:tcBorders>
            <w:shd w:val="clear" w:color="auto" w:fill="auto"/>
            <w:vAlign w:val="center"/>
          </w:tcPr>
          <w:p w14:paraId="3A0A59CC">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5EF5983D">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6E30DDFD">
            <w:pPr>
              <w:rPr>
                <w:rFonts w:hint="eastAsia" w:ascii="宋体" w:hAnsi="宋体" w:eastAsia="宋体" w:cs="宋体"/>
                <w:i w:val="0"/>
                <w:iCs w:val="0"/>
                <w:color w:val="000000"/>
                <w:sz w:val="18"/>
                <w:szCs w:val="18"/>
                <w:u w:val="none"/>
              </w:rPr>
            </w:pPr>
          </w:p>
        </w:tc>
      </w:tr>
      <w:tr w14:paraId="14049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85626B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4E4C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04B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01BD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51000023T000007890907-新建荣军休养楼</w:t>
            </w:r>
          </w:p>
        </w:tc>
      </w:tr>
      <w:tr w14:paraId="003F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A66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7A64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4440D7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15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0316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5E8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A8D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816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CF5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14:paraId="0A685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E0467">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3EE50">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68F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支付新建荣军休养楼尾款</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6F3D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按照支付目标，本年度完成了985万元的支付。</w:t>
            </w:r>
          </w:p>
        </w:tc>
      </w:tr>
      <w:tr w14:paraId="2DB09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956E">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75F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7AB9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根据单位实际情况，对新建荣军楼款项进行了985万元的支付。</w:t>
            </w:r>
          </w:p>
        </w:tc>
      </w:tr>
      <w:tr w14:paraId="4917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E5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A6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81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EC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BC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E6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4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24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A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E2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04B93">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A3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2C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2,521.45</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EC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2,521.45</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C71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985.00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7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39.06%</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1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55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3.91</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587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因项目尚在竣工审核中，尚未得出最终结算金额。</w:t>
            </w:r>
          </w:p>
        </w:tc>
      </w:tr>
      <w:tr w14:paraId="07618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C62EF">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4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2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A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C4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2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0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4E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CA2FA">
            <w:pPr>
              <w:rPr>
                <w:rFonts w:hint="eastAsia" w:ascii="宋体" w:hAnsi="宋体" w:eastAsia="宋体" w:cs="宋体"/>
                <w:i w:val="0"/>
                <w:iCs w:val="0"/>
                <w:color w:val="000000"/>
                <w:sz w:val="18"/>
                <w:szCs w:val="18"/>
                <w:u w:val="none"/>
              </w:rPr>
            </w:pPr>
          </w:p>
        </w:tc>
      </w:tr>
      <w:tr w14:paraId="2B623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4AA33">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E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04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D2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DDC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3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A5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E0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81292">
            <w:pPr>
              <w:rPr>
                <w:rFonts w:hint="eastAsia" w:ascii="宋体" w:hAnsi="宋体" w:eastAsia="宋体" w:cs="宋体"/>
                <w:i w:val="0"/>
                <w:iCs w:val="0"/>
                <w:color w:val="000000"/>
                <w:sz w:val="18"/>
                <w:szCs w:val="18"/>
                <w:u w:val="none"/>
              </w:rPr>
            </w:pPr>
          </w:p>
        </w:tc>
      </w:tr>
      <w:tr w14:paraId="3F8D0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985CB">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E3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1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2,521.45</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EF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2,521.45</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EC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985.00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C4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39.06%</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7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6E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37852">
            <w:pPr>
              <w:rPr>
                <w:rFonts w:hint="eastAsia" w:ascii="宋体" w:hAnsi="宋体" w:eastAsia="宋体" w:cs="宋体"/>
                <w:i w:val="0"/>
                <w:iCs w:val="0"/>
                <w:color w:val="000000"/>
                <w:sz w:val="18"/>
                <w:szCs w:val="18"/>
                <w:u w:val="none"/>
              </w:rPr>
            </w:pPr>
          </w:p>
        </w:tc>
      </w:tr>
      <w:tr w14:paraId="05AE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88088">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1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87E54">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FD6A">
            <w:pPr>
              <w:jc w:val="center"/>
              <w:rPr>
                <w:rFonts w:hint="eastAsia" w:ascii="宋体" w:hAnsi="宋体" w:eastAsia="宋体" w:cs="宋体"/>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01B87">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CC17E">
            <w:pPr>
              <w:jc w:val="center"/>
              <w:rPr>
                <w:rFonts w:hint="eastAsia" w:ascii="宋体" w:hAnsi="宋体" w:eastAsia="宋体" w:cs="宋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B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BD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771B2">
            <w:pPr>
              <w:rPr>
                <w:rFonts w:hint="eastAsia" w:ascii="宋体" w:hAnsi="宋体" w:eastAsia="宋体" w:cs="宋体"/>
                <w:i w:val="0"/>
                <w:iCs w:val="0"/>
                <w:color w:val="000000"/>
                <w:sz w:val="18"/>
                <w:szCs w:val="18"/>
                <w:u w:val="none"/>
              </w:rPr>
            </w:pPr>
          </w:p>
        </w:tc>
      </w:tr>
      <w:tr w14:paraId="36DC5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B5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4A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C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FC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49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96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4B9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2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A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1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07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765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4D674">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EF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68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F9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项目尾款支付笔数</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1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D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C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16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1E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0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DDE2">
            <w:pPr>
              <w:jc w:val="center"/>
              <w:rPr>
                <w:rFonts w:hint="eastAsia" w:ascii="宋体" w:hAnsi="宋体" w:eastAsia="宋体" w:cs="宋体"/>
                <w:i w:val="0"/>
                <w:iCs w:val="0"/>
                <w:color w:val="000000"/>
                <w:sz w:val="18"/>
                <w:szCs w:val="18"/>
                <w:u w:val="none"/>
              </w:rPr>
            </w:pPr>
          </w:p>
        </w:tc>
      </w:tr>
      <w:tr w14:paraId="4E5E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2DBC1">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251A5">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CA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B0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尾款拨付准确性</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54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DE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64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15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DE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F9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100B4">
            <w:pPr>
              <w:jc w:val="center"/>
              <w:rPr>
                <w:rFonts w:hint="eastAsia" w:ascii="宋体" w:hAnsi="宋体" w:eastAsia="宋体" w:cs="宋体"/>
                <w:i w:val="0"/>
                <w:iCs w:val="0"/>
                <w:color w:val="000000"/>
                <w:sz w:val="18"/>
                <w:szCs w:val="18"/>
                <w:u w:val="none"/>
              </w:rPr>
            </w:pPr>
          </w:p>
        </w:tc>
      </w:tr>
      <w:tr w14:paraId="5D642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E4DE7">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7207B">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1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8C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尾款拨付及时率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474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D7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C8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01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70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D0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9070">
            <w:pPr>
              <w:jc w:val="center"/>
              <w:rPr>
                <w:rFonts w:hint="eastAsia" w:ascii="宋体" w:hAnsi="宋体" w:eastAsia="宋体" w:cs="宋体"/>
                <w:i w:val="0"/>
                <w:iCs w:val="0"/>
                <w:color w:val="000000"/>
                <w:sz w:val="18"/>
                <w:szCs w:val="18"/>
                <w:u w:val="none"/>
              </w:rPr>
            </w:pPr>
          </w:p>
        </w:tc>
      </w:tr>
      <w:tr w14:paraId="7E9FC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61ECB">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C5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4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3E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保障社会服务对象稳定性</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0D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F0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CB46">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DC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稳定</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95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9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5251">
            <w:pPr>
              <w:jc w:val="center"/>
              <w:rPr>
                <w:rFonts w:hint="eastAsia" w:ascii="宋体" w:hAnsi="宋体" w:eastAsia="宋体" w:cs="宋体"/>
                <w:i w:val="0"/>
                <w:iCs w:val="0"/>
                <w:color w:val="000000"/>
                <w:sz w:val="18"/>
                <w:szCs w:val="18"/>
                <w:u w:val="none"/>
              </w:rPr>
            </w:pPr>
          </w:p>
        </w:tc>
      </w:tr>
      <w:tr w14:paraId="2B3D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4D396">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8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D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AA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7A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B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29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CE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AF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F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EF982">
            <w:pPr>
              <w:jc w:val="center"/>
              <w:rPr>
                <w:rFonts w:hint="eastAsia" w:ascii="宋体" w:hAnsi="宋体" w:eastAsia="宋体" w:cs="宋体"/>
                <w:i w:val="0"/>
                <w:iCs w:val="0"/>
                <w:color w:val="000000"/>
                <w:sz w:val="18"/>
                <w:szCs w:val="18"/>
                <w:u w:val="none"/>
              </w:rPr>
            </w:pPr>
          </w:p>
        </w:tc>
      </w:tr>
      <w:tr w14:paraId="1717B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5C2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5ECE4">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464F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93.91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2564">
            <w:pPr>
              <w:rPr>
                <w:rFonts w:hint="eastAsia" w:ascii="宋体" w:hAnsi="宋体" w:eastAsia="宋体" w:cs="宋体"/>
                <w:i w:val="0"/>
                <w:iCs w:val="0"/>
                <w:color w:val="000000"/>
                <w:sz w:val="18"/>
                <w:szCs w:val="18"/>
                <w:u w:val="none"/>
              </w:rPr>
            </w:pPr>
          </w:p>
        </w:tc>
      </w:tr>
      <w:tr w14:paraId="78C4F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AE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0B58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总评价得分：93.91分。严格按照相关资金专项管理办法，专款专用，紧紧围绕更好满足残疾退役军人等优抚对象医疗和供养需求。</w:t>
            </w:r>
          </w:p>
        </w:tc>
      </w:tr>
      <w:tr w14:paraId="61EEE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5B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E7E6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项目支付进度滞后。</w:t>
            </w:r>
          </w:p>
        </w:tc>
      </w:tr>
      <w:tr w14:paraId="0B449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89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0A30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进一步严格把控项目进度，落实每项实施进度，确保每个环节都按照预定的时间表推进。</w:t>
            </w:r>
          </w:p>
        </w:tc>
      </w:tr>
      <w:tr w14:paraId="6B64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2DEA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项目负责人：张延鹤</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CC22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财务负责人：韦佳</w:t>
            </w:r>
          </w:p>
        </w:tc>
      </w:tr>
      <w:tr w14:paraId="1E18F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41977804">
            <w:pPr>
              <w:rPr>
                <w:rFonts w:hint="eastAsia" w:ascii="宋体" w:hAnsi="宋体" w:eastAsia="宋体" w:cs="宋体"/>
                <w:i w:val="0"/>
                <w:iCs w:val="0"/>
                <w:color w:val="000000"/>
                <w:sz w:val="18"/>
                <w:szCs w:val="18"/>
                <w:u w:val="none"/>
              </w:rPr>
            </w:pPr>
          </w:p>
          <w:p w14:paraId="30744381">
            <w:pPr>
              <w:pStyle w:val="2"/>
              <w:rPr>
                <w:rFonts w:hint="eastAsia" w:ascii="宋体" w:hAnsi="宋体" w:eastAsia="宋体" w:cs="宋体"/>
                <w:i w:val="0"/>
                <w:iCs w:val="0"/>
                <w:color w:val="000000"/>
                <w:sz w:val="18"/>
                <w:szCs w:val="18"/>
                <w:u w:val="none"/>
              </w:rPr>
            </w:pPr>
          </w:p>
          <w:p w14:paraId="4D543D88">
            <w:pPr>
              <w:pStyle w:val="3"/>
              <w:rPr>
                <w:rFonts w:hint="eastAsia" w:ascii="宋体" w:hAnsi="宋体" w:eastAsia="宋体" w:cs="宋体"/>
                <w:i w:val="0"/>
                <w:iCs w:val="0"/>
                <w:color w:val="000000"/>
                <w:sz w:val="18"/>
                <w:szCs w:val="18"/>
                <w:u w:val="none"/>
              </w:rPr>
            </w:pPr>
          </w:p>
          <w:p w14:paraId="59C840DA">
            <w:pPr>
              <w:pStyle w:val="3"/>
              <w:rPr>
                <w:rFonts w:hint="eastAsia" w:ascii="宋体" w:hAnsi="宋体" w:eastAsia="宋体" w:cs="宋体"/>
                <w:i w:val="0"/>
                <w:iCs w:val="0"/>
                <w:color w:val="000000"/>
                <w:sz w:val="18"/>
                <w:szCs w:val="18"/>
                <w:u w:val="none"/>
              </w:rPr>
            </w:pPr>
          </w:p>
          <w:p w14:paraId="282735F9">
            <w:pPr>
              <w:pStyle w:val="3"/>
              <w:rPr>
                <w:rFonts w:hint="eastAsia" w:ascii="宋体" w:hAnsi="宋体" w:eastAsia="宋体" w:cs="宋体"/>
                <w:i w:val="0"/>
                <w:iCs w:val="0"/>
                <w:color w:val="000000"/>
                <w:sz w:val="18"/>
                <w:szCs w:val="18"/>
                <w:u w:val="none"/>
              </w:rPr>
            </w:pPr>
          </w:p>
          <w:p w14:paraId="5E4EFDF4">
            <w:pPr>
              <w:pStyle w:val="3"/>
              <w:rPr>
                <w:rFonts w:hint="eastAsia" w:ascii="宋体" w:hAnsi="宋体" w:eastAsia="宋体" w:cs="宋体"/>
                <w:i w:val="0"/>
                <w:iCs w:val="0"/>
                <w:color w:val="000000"/>
                <w:sz w:val="18"/>
                <w:szCs w:val="18"/>
                <w:u w:val="none"/>
              </w:rPr>
            </w:pPr>
          </w:p>
          <w:p w14:paraId="06AD7986">
            <w:pPr>
              <w:pStyle w:val="3"/>
              <w:rPr>
                <w:rFonts w:hint="eastAsia" w:ascii="宋体" w:hAnsi="宋体" w:eastAsia="宋体" w:cs="宋体"/>
                <w:i w:val="0"/>
                <w:iCs w:val="0"/>
                <w:color w:val="000000"/>
                <w:sz w:val="18"/>
                <w:szCs w:val="18"/>
                <w:u w:val="none"/>
              </w:rPr>
            </w:pPr>
          </w:p>
          <w:p w14:paraId="48DBEC49">
            <w:pPr>
              <w:pStyle w:val="3"/>
              <w:rPr>
                <w:rFonts w:hint="eastAsia" w:ascii="宋体" w:hAnsi="宋体" w:eastAsia="宋体" w:cs="宋体"/>
                <w:i w:val="0"/>
                <w:iCs w:val="0"/>
                <w:color w:val="000000"/>
                <w:sz w:val="18"/>
                <w:szCs w:val="18"/>
                <w:u w:val="none"/>
              </w:rPr>
            </w:pPr>
          </w:p>
          <w:p w14:paraId="0EAA7B16">
            <w:pPr>
              <w:pStyle w:val="3"/>
              <w:rPr>
                <w:rFonts w:hint="eastAsia" w:ascii="宋体" w:hAnsi="宋体" w:eastAsia="宋体" w:cs="宋体"/>
                <w:i w:val="0"/>
                <w:iCs w:val="0"/>
                <w:color w:val="000000"/>
                <w:sz w:val="18"/>
                <w:szCs w:val="18"/>
                <w:u w:val="none"/>
              </w:rPr>
            </w:pPr>
          </w:p>
          <w:p w14:paraId="34B56292">
            <w:pPr>
              <w:pStyle w:val="3"/>
              <w:rPr>
                <w:rFonts w:hint="eastAsia" w:ascii="宋体" w:hAnsi="宋体" w:eastAsia="宋体" w:cs="宋体"/>
                <w:i w:val="0"/>
                <w:iCs w:val="0"/>
                <w:color w:val="000000"/>
                <w:sz w:val="18"/>
                <w:szCs w:val="18"/>
                <w:u w:val="none"/>
              </w:rPr>
            </w:pPr>
          </w:p>
          <w:p w14:paraId="73DFDC7E">
            <w:pPr>
              <w:pStyle w:val="3"/>
              <w:rPr>
                <w:rFonts w:hint="eastAsia" w:ascii="宋体" w:hAnsi="宋体" w:eastAsia="宋体" w:cs="宋体"/>
                <w:i w:val="0"/>
                <w:iCs w:val="0"/>
                <w:color w:val="000000"/>
                <w:sz w:val="18"/>
                <w:szCs w:val="18"/>
                <w:u w:val="none"/>
              </w:rPr>
            </w:pPr>
          </w:p>
          <w:p w14:paraId="705EFAF1">
            <w:pPr>
              <w:pStyle w:val="3"/>
              <w:rPr>
                <w:rFonts w:hint="eastAsia" w:ascii="宋体" w:hAnsi="宋体" w:eastAsia="宋体" w:cs="宋体"/>
                <w:i w:val="0"/>
                <w:iCs w:val="0"/>
                <w:color w:val="000000"/>
                <w:sz w:val="18"/>
                <w:szCs w:val="18"/>
                <w:u w:val="none"/>
              </w:rPr>
            </w:pPr>
          </w:p>
          <w:p w14:paraId="7E68B577">
            <w:pPr>
              <w:pStyle w:val="3"/>
              <w:rPr>
                <w:rFonts w:hint="eastAsia" w:ascii="宋体" w:hAnsi="宋体" w:eastAsia="宋体" w:cs="宋体"/>
                <w:i w:val="0"/>
                <w:iCs w:val="0"/>
                <w:color w:val="000000"/>
                <w:sz w:val="18"/>
                <w:szCs w:val="18"/>
                <w:u w:val="none"/>
              </w:rPr>
            </w:pPr>
          </w:p>
          <w:p w14:paraId="38E1AA39">
            <w:pPr>
              <w:pStyle w:val="3"/>
              <w:rPr>
                <w:rFonts w:hint="eastAsia" w:ascii="宋体" w:hAnsi="宋体" w:eastAsia="宋体" w:cs="宋体"/>
                <w:i w:val="0"/>
                <w:iCs w:val="0"/>
                <w:color w:val="000000"/>
                <w:sz w:val="18"/>
                <w:szCs w:val="18"/>
                <w:u w:val="none"/>
              </w:rPr>
            </w:pPr>
          </w:p>
          <w:p w14:paraId="08E37F12">
            <w:pPr>
              <w:pStyle w:val="3"/>
              <w:rPr>
                <w:rFonts w:hint="eastAsia" w:ascii="宋体" w:hAnsi="宋体" w:eastAsia="宋体" w:cs="宋体"/>
                <w:i w:val="0"/>
                <w:iCs w:val="0"/>
                <w:color w:val="000000"/>
                <w:sz w:val="18"/>
                <w:szCs w:val="18"/>
                <w:u w:val="none"/>
              </w:rPr>
            </w:pPr>
          </w:p>
          <w:p w14:paraId="00C871B7">
            <w:pPr>
              <w:pStyle w:val="3"/>
              <w:rPr>
                <w:rFonts w:hint="eastAsia" w:ascii="宋体" w:hAnsi="宋体" w:eastAsia="宋体" w:cs="宋体"/>
                <w:i w:val="0"/>
                <w:iCs w:val="0"/>
                <w:color w:val="000000"/>
                <w:sz w:val="18"/>
                <w:szCs w:val="18"/>
                <w:u w:val="none"/>
              </w:rPr>
            </w:pPr>
          </w:p>
          <w:p w14:paraId="1F12AB66">
            <w:pPr>
              <w:pStyle w:val="3"/>
              <w:rPr>
                <w:rFonts w:hint="eastAsia" w:ascii="宋体" w:hAnsi="宋体" w:eastAsia="宋体" w:cs="宋体"/>
                <w:i w:val="0"/>
                <w:iCs w:val="0"/>
                <w:color w:val="000000"/>
                <w:sz w:val="18"/>
                <w:szCs w:val="18"/>
                <w:u w:val="none"/>
              </w:rPr>
            </w:pPr>
          </w:p>
          <w:p w14:paraId="556B61BD">
            <w:pPr>
              <w:pStyle w:val="3"/>
              <w:rPr>
                <w:rFonts w:hint="eastAsia" w:ascii="宋体" w:hAnsi="宋体" w:eastAsia="宋体" w:cs="宋体"/>
                <w:i w:val="0"/>
                <w:iCs w:val="0"/>
                <w:color w:val="000000"/>
                <w:sz w:val="18"/>
                <w:szCs w:val="18"/>
                <w:u w:val="none"/>
              </w:rPr>
            </w:pPr>
          </w:p>
          <w:p w14:paraId="46ACCDAD">
            <w:pPr>
              <w:pStyle w:val="3"/>
              <w:rPr>
                <w:rFonts w:hint="eastAsia" w:ascii="宋体" w:hAnsi="宋体" w:eastAsia="宋体" w:cs="宋体"/>
                <w:i w:val="0"/>
                <w:iCs w:val="0"/>
                <w:color w:val="000000"/>
                <w:sz w:val="18"/>
                <w:szCs w:val="18"/>
                <w:u w:val="none"/>
              </w:rPr>
            </w:pPr>
          </w:p>
          <w:p w14:paraId="0C78DF07">
            <w:pPr>
              <w:pStyle w:val="3"/>
              <w:rPr>
                <w:rFonts w:hint="eastAsia" w:ascii="宋体" w:hAnsi="宋体" w:eastAsia="宋体" w:cs="宋体"/>
                <w:i w:val="0"/>
                <w:iCs w:val="0"/>
                <w:color w:val="000000"/>
                <w:sz w:val="18"/>
                <w:szCs w:val="18"/>
                <w:u w:val="none"/>
              </w:rPr>
            </w:pPr>
          </w:p>
          <w:p w14:paraId="555DDF85">
            <w:pPr>
              <w:pStyle w:val="3"/>
              <w:rPr>
                <w:rFonts w:hint="eastAsia" w:ascii="宋体" w:hAnsi="宋体" w:eastAsia="宋体" w:cs="宋体"/>
                <w:i w:val="0"/>
                <w:iCs w:val="0"/>
                <w:color w:val="000000"/>
                <w:sz w:val="18"/>
                <w:szCs w:val="18"/>
                <w:u w:val="none"/>
              </w:rPr>
            </w:pPr>
          </w:p>
          <w:p w14:paraId="6AF38312">
            <w:pPr>
              <w:pStyle w:val="3"/>
              <w:rPr>
                <w:rFonts w:hint="eastAsia" w:ascii="宋体" w:hAnsi="宋体" w:eastAsia="宋体" w:cs="宋体"/>
                <w:i w:val="0"/>
                <w:iCs w:val="0"/>
                <w:color w:val="000000"/>
                <w:sz w:val="18"/>
                <w:szCs w:val="18"/>
                <w:u w:val="none"/>
              </w:rPr>
            </w:pPr>
          </w:p>
          <w:p w14:paraId="760B5214">
            <w:pPr>
              <w:pStyle w:val="3"/>
              <w:ind w:left="0" w:leftChars="0" w:firstLine="0" w:firstLineChars="0"/>
              <w:rPr>
                <w:rFonts w:hint="eastAsia" w:ascii="宋体" w:hAnsi="宋体" w:eastAsia="宋体" w:cs="宋体"/>
                <w:i w:val="0"/>
                <w:iCs w:val="0"/>
                <w:color w:val="000000"/>
                <w:sz w:val="18"/>
                <w:szCs w:val="18"/>
                <w:u w:val="none"/>
              </w:rPr>
            </w:pPr>
          </w:p>
        </w:tc>
        <w:tc>
          <w:tcPr>
            <w:tcW w:w="563" w:type="pct"/>
            <w:tcBorders>
              <w:top w:val="nil"/>
              <w:left w:val="nil"/>
              <w:bottom w:val="nil"/>
              <w:right w:val="nil"/>
            </w:tcBorders>
            <w:shd w:val="clear" w:color="auto" w:fill="auto"/>
            <w:vAlign w:val="center"/>
          </w:tcPr>
          <w:p w14:paraId="0D0F5213">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3FABE29F">
            <w:pPr>
              <w:rPr>
                <w:rFonts w:hint="eastAsia" w:ascii="宋体" w:hAnsi="宋体" w:eastAsia="宋体" w:cs="宋体"/>
                <w:i w:val="0"/>
                <w:iCs w:val="0"/>
                <w:color w:val="000000"/>
                <w:sz w:val="18"/>
                <w:szCs w:val="18"/>
                <w:u w:val="none"/>
              </w:rPr>
            </w:pPr>
          </w:p>
        </w:tc>
        <w:tc>
          <w:tcPr>
            <w:tcW w:w="565" w:type="pct"/>
            <w:tcBorders>
              <w:top w:val="nil"/>
              <w:left w:val="nil"/>
              <w:bottom w:val="nil"/>
              <w:right w:val="nil"/>
            </w:tcBorders>
            <w:shd w:val="clear" w:color="auto" w:fill="auto"/>
            <w:vAlign w:val="center"/>
          </w:tcPr>
          <w:p w14:paraId="267E257A">
            <w:pPr>
              <w:rPr>
                <w:rFonts w:hint="eastAsia" w:ascii="宋体" w:hAnsi="宋体" w:eastAsia="宋体" w:cs="宋体"/>
                <w:i w:val="0"/>
                <w:iCs w:val="0"/>
                <w:color w:val="000000"/>
                <w:sz w:val="18"/>
                <w:szCs w:val="18"/>
                <w:u w:val="none"/>
              </w:rPr>
            </w:pPr>
          </w:p>
        </w:tc>
        <w:tc>
          <w:tcPr>
            <w:tcW w:w="235" w:type="pct"/>
            <w:tcBorders>
              <w:top w:val="nil"/>
              <w:left w:val="nil"/>
              <w:bottom w:val="nil"/>
              <w:right w:val="nil"/>
            </w:tcBorders>
            <w:shd w:val="clear" w:color="auto" w:fill="auto"/>
            <w:vAlign w:val="center"/>
          </w:tcPr>
          <w:p w14:paraId="215B93A0">
            <w:pPr>
              <w:rPr>
                <w:rFonts w:hint="eastAsia" w:ascii="宋体" w:hAnsi="宋体" w:eastAsia="宋体" w:cs="宋体"/>
                <w:i w:val="0"/>
                <w:iCs w:val="0"/>
                <w:color w:val="000000"/>
                <w:sz w:val="18"/>
                <w:szCs w:val="18"/>
                <w:u w:val="none"/>
              </w:rPr>
            </w:pPr>
          </w:p>
        </w:tc>
        <w:tc>
          <w:tcPr>
            <w:tcW w:w="495" w:type="pct"/>
            <w:tcBorders>
              <w:top w:val="nil"/>
              <w:left w:val="nil"/>
              <w:bottom w:val="nil"/>
              <w:right w:val="nil"/>
            </w:tcBorders>
            <w:shd w:val="clear" w:color="auto" w:fill="auto"/>
            <w:vAlign w:val="center"/>
          </w:tcPr>
          <w:p w14:paraId="70BCEF40">
            <w:pPr>
              <w:rPr>
                <w:rFonts w:hint="eastAsia" w:ascii="宋体" w:hAnsi="宋体" w:eastAsia="宋体" w:cs="宋体"/>
                <w:i w:val="0"/>
                <w:iCs w:val="0"/>
                <w:color w:val="000000"/>
                <w:sz w:val="18"/>
                <w:szCs w:val="18"/>
                <w:u w:val="none"/>
              </w:rPr>
            </w:pPr>
          </w:p>
        </w:tc>
        <w:tc>
          <w:tcPr>
            <w:tcW w:w="408" w:type="pct"/>
            <w:tcBorders>
              <w:top w:val="nil"/>
              <w:left w:val="nil"/>
              <w:bottom w:val="nil"/>
              <w:right w:val="nil"/>
            </w:tcBorders>
            <w:shd w:val="clear" w:color="auto" w:fill="auto"/>
            <w:vAlign w:val="center"/>
          </w:tcPr>
          <w:p w14:paraId="09A83DDB">
            <w:pPr>
              <w:rPr>
                <w:rFonts w:hint="eastAsia" w:ascii="宋体" w:hAnsi="宋体" w:eastAsia="宋体" w:cs="宋体"/>
                <w:i w:val="0"/>
                <w:iCs w:val="0"/>
                <w:color w:val="000000"/>
                <w:sz w:val="18"/>
                <w:szCs w:val="18"/>
                <w:u w:val="none"/>
              </w:rPr>
            </w:pPr>
          </w:p>
        </w:tc>
        <w:tc>
          <w:tcPr>
            <w:tcW w:w="530" w:type="pct"/>
            <w:tcBorders>
              <w:top w:val="nil"/>
              <w:left w:val="nil"/>
              <w:bottom w:val="nil"/>
              <w:right w:val="nil"/>
            </w:tcBorders>
            <w:shd w:val="clear" w:color="auto" w:fill="auto"/>
            <w:vAlign w:val="center"/>
          </w:tcPr>
          <w:p w14:paraId="5A7DCA33">
            <w:pPr>
              <w:rPr>
                <w:rFonts w:hint="eastAsia" w:ascii="宋体" w:hAnsi="宋体" w:eastAsia="宋体" w:cs="宋体"/>
                <w:i w:val="0"/>
                <w:iCs w:val="0"/>
                <w:color w:val="000000"/>
                <w:sz w:val="18"/>
                <w:szCs w:val="18"/>
                <w:u w:val="none"/>
              </w:rPr>
            </w:pPr>
          </w:p>
        </w:tc>
        <w:tc>
          <w:tcPr>
            <w:tcW w:w="231" w:type="pct"/>
            <w:tcBorders>
              <w:top w:val="nil"/>
              <w:left w:val="nil"/>
              <w:bottom w:val="nil"/>
              <w:right w:val="nil"/>
            </w:tcBorders>
            <w:shd w:val="clear" w:color="auto" w:fill="auto"/>
            <w:vAlign w:val="center"/>
          </w:tcPr>
          <w:p w14:paraId="7163C5AB">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5DC9AB26">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423134B5">
            <w:pPr>
              <w:rPr>
                <w:rFonts w:hint="eastAsia" w:ascii="宋体" w:hAnsi="宋体" w:eastAsia="宋体" w:cs="宋体"/>
                <w:i w:val="0"/>
                <w:iCs w:val="0"/>
                <w:color w:val="000000"/>
                <w:sz w:val="18"/>
                <w:szCs w:val="18"/>
                <w:u w:val="none"/>
              </w:rPr>
            </w:pPr>
          </w:p>
        </w:tc>
      </w:tr>
      <w:tr w14:paraId="06DDD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2E930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2541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ADE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A1F0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51000022T000000392218-中央优抚对象抚恤补助经费</w:t>
            </w:r>
          </w:p>
        </w:tc>
      </w:tr>
      <w:tr w14:paraId="415F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8C5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CD1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6FB91C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FF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3E2A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7F2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A7C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A5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873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14:paraId="1FE75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FA24">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E4FA7">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470589">
            <w:pPr>
              <w:keepNext w:val="0"/>
              <w:keepLines w:val="0"/>
              <w:widowControl/>
              <w:suppressLineNumbers w:val="0"/>
              <w:spacing w:after="180" w:afterAutospacing="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根据《军人抚恤优待条例》、《伤残抚恤办理办法》以及《四川省退役军人事务厅 四川省财政厅关于调整部分优抚对象等人员抚恤和生活补助标准的通知》（川退役军人发﹝2021﹞91号），通过发放优抚对象抚恤补助资金，使优抚对象等人员的基本生活得到有效保障。</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8CF2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完成了每月按时足额发放我院33位残疾军人抚恤补助金。</w:t>
            </w:r>
          </w:p>
        </w:tc>
      </w:tr>
      <w:tr w14:paraId="27EF5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35EC1">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08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8031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每月初发放完成33名伤残军人的抚恤金发放。</w:t>
            </w:r>
          </w:p>
        </w:tc>
      </w:tr>
      <w:tr w14:paraId="2948B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CF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7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A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4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18E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FE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E0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4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F3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1AE8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0C2A9">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33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17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334.48</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4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355.96</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BD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341.50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F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95.94%</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9A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5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9.59</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FD6EB">
            <w:pPr>
              <w:rPr>
                <w:rFonts w:hint="eastAsia" w:ascii="宋体" w:hAnsi="宋体" w:eastAsia="宋体" w:cs="宋体"/>
                <w:i w:val="0"/>
                <w:iCs w:val="0"/>
                <w:color w:val="000000"/>
                <w:sz w:val="18"/>
                <w:szCs w:val="18"/>
                <w:u w:val="none"/>
              </w:rPr>
            </w:pPr>
          </w:p>
        </w:tc>
      </w:tr>
      <w:tr w14:paraId="3FCAF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C41F5">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7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2C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334.48</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A0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355.96</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B9D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341.50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1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95.94%</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B7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FC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DA9D8">
            <w:pPr>
              <w:rPr>
                <w:rFonts w:hint="eastAsia" w:ascii="宋体" w:hAnsi="宋体" w:eastAsia="宋体" w:cs="宋体"/>
                <w:i w:val="0"/>
                <w:iCs w:val="0"/>
                <w:color w:val="000000"/>
                <w:sz w:val="18"/>
                <w:szCs w:val="18"/>
                <w:u w:val="none"/>
              </w:rPr>
            </w:pPr>
          </w:p>
        </w:tc>
      </w:tr>
      <w:tr w14:paraId="67F9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2726A">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9B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4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50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39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C7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3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71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27291">
            <w:pPr>
              <w:rPr>
                <w:rFonts w:hint="eastAsia" w:ascii="宋体" w:hAnsi="宋体" w:eastAsia="宋体" w:cs="宋体"/>
                <w:i w:val="0"/>
                <w:iCs w:val="0"/>
                <w:color w:val="000000"/>
                <w:sz w:val="18"/>
                <w:szCs w:val="18"/>
                <w:u w:val="none"/>
              </w:rPr>
            </w:pPr>
          </w:p>
        </w:tc>
      </w:tr>
      <w:tr w14:paraId="29E8C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09BAE">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4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49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F6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9A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F2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FE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B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3DDFE">
            <w:pPr>
              <w:rPr>
                <w:rFonts w:hint="eastAsia" w:ascii="宋体" w:hAnsi="宋体" w:eastAsia="宋体" w:cs="宋体"/>
                <w:i w:val="0"/>
                <w:iCs w:val="0"/>
                <w:color w:val="000000"/>
                <w:sz w:val="18"/>
                <w:szCs w:val="18"/>
                <w:u w:val="none"/>
              </w:rPr>
            </w:pPr>
          </w:p>
        </w:tc>
      </w:tr>
      <w:tr w14:paraId="38F9E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1DE35">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6B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4C3F">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0483C">
            <w:pPr>
              <w:jc w:val="center"/>
              <w:rPr>
                <w:rFonts w:hint="eastAsia" w:ascii="宋体" w:hAnsi="宋体" w:eastAsia="宋体" w:cs="宋体"/>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30F6CE">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F59C">
            <w:pPr>
              <w:jc w:val="center"/>
              <w:rPr>
                <w:rFonts w:hint="eastAsia" w:ascii="宋体" w:hAnsi="宋体" w:eastAsia="宋体" w:cs="宋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4E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C3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810C7">
            <w:pPr>
              <w:rPr>
                <w:rFonts w:hint="eastAsia" w:ascii="宋体" w:hAnsi="宋体" w:eastAsia="宋体" w:cs="宋体"/>
                <w:i w:val="0"/>
                <w:iCs w:val="0"/>
                <w:color w:val="000000"/>
                <w:sz w:val="18"/>
                <w:szCs w:val="18"/>
                <w:u w:val="none"/>
              </w:rPr>
            </w:pPr>
          </w:p>
        </w:tc>
      </w:tr>
      <w:tr w14:paraId="2B949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F9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63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2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6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D7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DD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9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51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7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A6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04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5C2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ACC53">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5C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AA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A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优抚对象抚恤补助资金发放人数</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D8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AC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52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A536">
            <w:pPr>
              <w:keepNext w:val="0"/>
              <w:keepLines w:val="0"/>
              <w:widowControl/>
              <w:suppressLineNumbers w:val="0"/>
              <w:jc w:val="center"/>
              <w:textAlignment w:val="center"/>
              <w:rPr>
                <w:rFonts w:hint="eastAsia" w:ascii="宋体" w:hAnsi="宋体" w:eastAsia="宋体" w:cs="宋体"/>
                <w:i/>
                <w:iCs/>
                <w:color w:val="000000"/>
                <w:sz w:val="16"/>
                <w:szCs w:val="16"/>
                <w:u w:val="none"/>
              </w:rPr>
            </w:pPr>
            <w:r>
              <w:rPr>
                <w:rFonts w:hint="eastAsia" w:ascii="宋体" w:hAnsi="宋体" w:eastAsia="宋体" w:cs="宋体"/>
                <w:i/>
                <w:iCs/>
                <w:color w:val="000000"/>
                <w:kern w:val="0"/>
                <w:sz w:val="16"/>
                <w:szCs w:val="16"/>
                <w:u w:val="none"/>
                <w:lang w:val="en-US" w:eastAsia="zh-CN" w:bidi="ar"/>
              </w:rPr>
              <w:t>33</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4C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DC3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E696">
            <w:pPr>
              <w:rPr>
                <w:rFonts w:hint="eastAsia" w:ascii="宋体" w:hAnsi="宋体" w:eastAsia="宋体" w:cs="宋体"/>
                <w:i w:val="0"/>
                <w:iCs w:val="0"/>
                <w:color w:val="000000"/>
                <w:sz w:val="18"/>
                <w:szCs w:val="18"/>
                <w:u w:val="none"/>
              </w:rPr>
            </w:pPr>
          </w:p>
        </w:tc>
      </w:tr>
      <w:tr w14:paraId="0DABE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C32A8">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15C2C">
            <w:pPr>
              <w:jc w:val="center"/>
              <w:rPr>
                <w:rFonts w:hint="eastAsia" w:ascii="宋体" w:hAnsi="宋体" w:eastAsia="宋体" w:cs="宋体"/>
                <w:i w:val="0"/>
                <w:iCs w:val="0"/>
                <w:color w:val="000000"/>
                <w:sz w:val="18"/>
                <w:szCs w:val="18"/>
                <w:u w:val="none"/>
              </w:rPr>
            </w:pP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A6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04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各类优抚对象抚恤补助标准按规定执行率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28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40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94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3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7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24A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F25F0">
            <w:pPr>
              <w:rPr>
                <w:rFonts w:hint="eastAsia" w:ascii="宋体" w:hAnsi="宋体" w:eastAsia="宋体" w:cs="宋体"/>
                <w:i w:val="0"/>
                <w:iCs w:val="0"/>
                <w:color w:val="000000"/>
                <w:sz w:val="18"/>
                <w:szCs w:val="18"/>
                <w:u w:val="none"/>
              </w:rPr>
            </w:pPr>
          </w:p>
        </w:tc>
      </w:tr>
      <w:tr w14:paraId="48FAD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A07A8">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A0369">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F7697">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65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经费足额拨付率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8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A7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B3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E5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F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18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9C7A">
            <w:pPr>
              <w:rPr>
                <w:rFonts w:hint="eastAsia" w:ascii="宋体" w:hAnsi="宋体" w:eastAsia="宋体" w:cs="宋体"/>
                <w:i w:val="0"/>
                <w:iCs w:val="0"/>
                <w:color w:val="000000"/>
                <w:sz w:val="18"/>
                <w:szCs w:val="18"/>
                <w:u w:val="none"/>
              </w:rPr>
            </w:pPr>
          </w:p>
        </w:tc>
      </w:tr>
      <w:tr w14:paraId="5E164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72F82">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D2FFF">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5A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09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优抚对象抚恤补助资金及时拨付率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02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2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AD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51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66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EE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5FCFF">
            <w:pPr>
              <w:rPr>
                <w:rFonts w:hint="eastAsia" w:ascii="宋体" w:hAnsi="宋体" w:eastAsia="宋体" w:cs="宋体"/>
                <w:i w:val="0"/>
                <w:iCs w:val="0"/>
                <w:color w:val="000000"/>
                <w:sz w:val="18"/>
                <w:szCs w:val="18"/>
                <w:u w:val="none"/>
              </w:rPr>
            </w:pPr>
          </w:p>
        </w:tc>
      </w:tr>
      <w:tr w14:paraId="21C6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06BC9">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7E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D0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F0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提升优抚对象生活水平</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54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9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51B4">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3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B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A1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D7635">
            <w:pPr>
              <w:rPr>
                <w:rFonts w:hint="eastAsia" w:ascii="宋体" w:hAnsi="宋体" w:eastAsia="宋体" w:cs="宋体"/>
                <w:i w:val="0"/>
                <w:iCs w:val="0"/>
                <w:color w:val="000000"/>
                <w:sz w:val="18"/>
                <w:szCs w:val="18"/>
                <w:u w:val="none"/>
              </w:rPr>
            </w:pPr>
          </w:p>
        </w:tc>
      </w:tr>
      <w:tr w14:paraId="0369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0BD7B">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C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62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F0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20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BF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57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61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0D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87B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246E9">
            <w:pPr>
              <w:rPr>
                <w:rFonts w:hint="eastAsia" w:ascii="宋体" w:hAnsi="宋体" w:eastAsia="宋体" w:cs="宋体"/>
                <w:i w:val="0"/>
                <w:iCs w:val="0"/>
                <w:color w:val="000000"/>
                <w:sz w:val="18"/>
                <w:szCs w:val="18"/>
                <w:u w:val="none"/>
              </w:rPr>
            </w:pPr>
          </w:p>
        </w:tc>
      </w:tr>
      <w:tr w14:paraId="0EB0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CF3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DABB0">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4618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81B1D">
            <w:pPr>
              <w:rPr>
                <w:rFonts w:hint="eastAsia" w:ascii="宋体" w:hAnsi="宋体" w:eastAsia="宋体" w:cs="宋体"/>
                <w:i w:val="0"/>
                <w:iCs w:val="0"/>
                <w:color w:val="000000"/>
                <w:sz w:val="18"/>
                <w:szCs w:val="18"/>
                <w:u w:val="none"/>
              </w:rPr>
            </w:pPr>
          </w:p>
        </w:tc>
      </w:tr>
      <w:tr w14:paraId="267EA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8C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7046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总评价得分：99.59分。按时足额发放33名伤残军人的抚恤金。</w:t>
            </w:r>
          </w:p>
        </w:tc>
      </w:tr>
      <w:tr w14:paraId="1BECA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5A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BBDE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11839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26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AB50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7BE4D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B7E1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项目负责人：彭彬</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5406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财务负责人：韦佳</w:t>
            </w:r>
          </w:p>
        </w:tc>
      </w:tr>
      <w:tr w14:paraId="483C4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4B27E503">
            <w:pPr>
              <w:rPr>
                <w:rFonts w:hint="eastAsia" w:ascii="宋体" w:hAnsi="宋体" w:eastAsia="宋体" w:cs="宋体"/>
                <w:i w:val="0"/>
                <w:iCs w:val="0"/>
                <w:color w:val="000000"/>
                <w:sz w:val="18"/>
                <w:szCs w:val="18"/>
                <w:u w:val="none"/>
              </w:rPr>
            </w:pPr>
          </w:p>
          <w:p w14:paraId="7F03A627">
            <w:pPr>
              <w:pStyle w:val="2"/>
              <w:rPr>
                <w:rFonts w:hint="eastAsia" w:ascii="宋体" w:hAnsi="宋体" w:eastAsia="宋体" w:cs="宋体"/>
                <w:i w:val="0"/>
                <w:iCs w:val="0"/>
                <w:color w:val="000000"/>
                <w:sz w:val="18"/>
                <w:szCs w:val="18"/>
                <w:u w:val="none"/>
              </w:rPr>
            </w:pPr>
          </w:p>
          <w:p w14:paraId="41F1F6D0">
            <w:pPr>
              <w:pStyle w:val="3"/>
              <w:rPr>
                <w:rFonts w:hint="eastAsia" w:ascii="宋体" w:hAnsi="宋体" w:eastAsia="宋体" w:cs="宋体"/>
                <w:i w:val="0"/>
                <w:iCs w:val="0"/>
                <w:color w:val="000000"/>
                <w:sz w:val="18"/>
                <w:szCs w:val="18"/>
                <w:u w:val="none"/>
              </w:rPr>
            </w:pPr>
          </w:p>
          <w:p w14:paraId="233603DE">
            <w:pPr>
              <w:pStyle w:val="3"/>
              <w:rPr>
                <w:rFonts w:hint="eastAsia" w:ascii="宋体" w:hAnsi="宋体" w:eastAsia="宋体" w:cs="宋体"/>
                <w:i w:val="0"/>
                <w:iCs w:val="0"/>
                <w:color w:val="000000"/>
                <w:sz w:val="18"/>
                <w:szCs w:val="18"/>
                <w:u w:val="none"/>
              </w:rPr>
            </w:pPr>
          </w:p>
          <w:p w14:paraId="3F5DE5E2">
            <w:pPr>
              <w:pStyle w:val="3"/>
              <w:rPr>
                <w:rFonts w:hint="eastAsia" w:ascii="宋体" w:hAnsi="宋体" w:eastAsia="宋体" w:cs="宋体"/>
                <w:i w:val="0"/>
                <w:iCs w:val="0"/>
                <w:color w:val="000000"/>
                <w:sz w:val="18"/>
                <w:szCs w:val="18"/>
                <w:u w:val="none"/>
              </w:rPr>
            </w:pPr>
          </w:p>
          <w:p w14:paraId="3C772F29">
            <w:pPr>
              <w:pStyle w:val="3"/>
              <w:rPr>
                <w:rFonts w:hint="eastAsia" w:ascii="宋体" w:hAnsi="宋体" w:eastAsia="宋体" w:cs="宋体"/>
                <w:i w:val="0"/>
                <w:iCs w:val="0"/>
                <w:color w:val="000000"/>
                <w:sz w:val="18"/>
                <w:szCs w:val="18"/>
                <w:u w:val="none"/>
              </w:rPr>
            </w:pPr>
          </w:p>
          <w:p w14:paraId="670718D2">
            <w:pPr>
              <w:pStyle w:val="3"/>
              <w:rPr>
                <w:rFonts w:hint="eastAsia" w:ascii="宋体" w:hAnsi="宋体" w:eastAsia="宋体" w:cs="宋体"/>
                <w:i w:val="0"/>
                <w:iCs w:val="0"/>
                <w:color w:val="000000"/>
                <w:sz w:val="18"/>
                <w:szCs w:val="18"/>
                <w:u w:val="none"/>
              </w:rPr>
            </w:pPr>
          </w:p>
          <w:p w14:paraId="5BAC6381">
            <w:pPr>
              <w:pStyle w:val="3"/>
              <w:rPr>
                <w:rFonts w:hint="eastAsia" w:ascii="宋体" w:hAnsi="宋体" w:eastAsia="宋体" w:cs="宋体"/>
                <w:i w:val="0"/>
                <w:iCs w:val="0"/>
                <w:color w:val="000000"/>
                <w:sz w:val="18"/>
                <w:szCs w:val="18"/>
                <w:u w:val="none"/>
              </w:rPr>
            </w:pPr>
          </w:p>
          <w:p w14:paraId="57549AD6">
            <w:pPr>
              <w:pStyle w:val="3"/>
              <w:rPr>
                <w:rFonts w:hint="eastAsia" w:ascii="宋体" w:hAnsi="宋体" w:eastAsia="宋体" w:cs="宋体"/>
                <w:i w:val="0"/>
                <w:iCs w:val="0"/>
                <w:color w:val="000000"/>
                <w:sz w:val="18"/>
                <w:szCs w:val="18"/>
                <w:u w:val="none"/>
              </w:rPr>
            </w:pPr>
          </w:p>
          <w:p w14:paraId="0316C575">
            <w:pPr>
              <w:pStyle w:val="3"/>
              <w:rPr>
                <w:rFonts w:hint="eastAsia" w:ascii="宋体" w:hAnsi="宋体" w:eastAsia="宋体" w:cs="宋体"/>
                <w:i w:val="0"/>
                <w:iCs w:val="0"/>
                <w:color w:val="000000"/>
                <w:sz w:val="18"/>
                <w:szCs w:val="18"/>
                <w:u w:val="none"/>
              </w:rPr>
            </w:pPr>
          </w:p>
          <w:p w14:paraId="7934B66A">
            <w:pPr>
              <w:pStyle w:val="3"/>
              <w:rPr>
                <w:rFonts w:hint="eastAsia" w:ascii="宋体" w:hAnsi="宋体" w:eastAsia="宋体" w:cs="宋体"/>
                <w:i w:val="0"/>
                <w:iCs w:val="0"/>
                <w:color w:val="000000"/>
                <w:sz w:val="18"/>
                <w:szCs w:val="18"/>
                <w:u w:val="none"/>
              </w:rPr>
            </w:pPr>
          </w:p>
          <w:p w14:paraId="1CF8562E">
            <w:pPr>
              <w:pStyle w:val="3"/>
              <w:rPr>
                <w:rFonts w:hint="eastAsia" w:ascii="宋体" w:hAnsi="宋体" w:eastAsia="宋体" w:cs="宋体"/>
                <w:i w:val="0"/>
                <w:iCs w:val="0"/>
                <w:color w:val="000000"/>
                <w:sz w:val="18"/>
                <w:szCs w:val="18"/>
                <w:u w:val="none"/>
              </w:rPr>
            </w:pPr>
          </w:p>
          <w:p w14:paraId="7D87D8A5">
            <w:pPr>
              <w:pStyle w:val="3"/>
              <w:rPr>
                <w:rFonts w:hint="eastAsia" w:ascii="宋体" w:hAnsi="宋体" w:eastAsia="宋体" w:cs="宋体"/>
                <w:i w:val="0"/>
                <w:iCs w:val="0"/>
                <w:color w:val="000000"/>
                <w:sz w:val="18"/>
                <w:szCs w:val="18"/>
                <w:u w:val="none"/>
              </w:rPr>
            </w:pPr>
          </w:p>
          <w:p w14:paraId="333285C1">
            <w:pPr>
              <w:pStyle w:val="3"/>
              <w:ind w:left="0" w:leftChars="0" w:firstLine="0" w:firstLineChars="0"/>
              <w:rPr>
                <w:rFonts w:hint="eastAsia" w:ascii="宋体" w:hAnsi="宋体" w:eastAsia="宋体" w:cs="宋体"/>
                <w:i w:val="0"/>
                <w:iCs w:val="0"/>
                <w:color w:val="000000"/>
                <w:sz w:val="18"/>
                <w:szCs w:val="18"/>
                <w:u w:val="none"/>
              </w:rPr>
            </w:pPr>
          </w:p>
        </w:tc>
        <w:tc>
          <w:tcPr>
            <w:tcW w:w="563" w:type="pct"/>
            <w:tcBorders>
              <w:top w:val="nil"/>
              <w:left w:val="nil"/>
              <w:bottom w:val="nil"/>
              <w:right w:val="nil"/>
            </w:tcBorders>
            <w:shd w:val="clear" w:color="auto" w:fill="auto"/>
            <w:vAlign w:val="center"/>
          </w:tcPr>
          <w:p w14:paraId="0C193915">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28E47E87">
            <w:pPr>
              <w:rPr>
                <w:rFonts w:hint="eastAsia" w:ascii="宋体" w:hAnsi="宋体" w:eastAsia="宋体" w:cs="宋体"/>
                <w:i w:val="0"/>
                <w:iCs w:val="0"/>
                <w:color w:val="000000"/>
                <w:sz w:val="18"/>
                <w:szCs w:val="18"/>
                <w:u w:val="none"/>
              </w:rPr>
            </w:pPr>
          </w:p>
        </w:tc>
        <w:tc>
          <w:tcPr>
            <w:tcW w:w="565" w:type="pct"/>
            <w:tcBorders>
              <w:top w:val="nil"/>
              <w:left w:val="nil"/>
              <w:bottom w:val="nil"/>
              <w:right w:val="nil"/>
            </w:tcBorders>
            <w:shd w:val="clear" w:color="auto" w:fill="auto"/>
            <w:vAlign w:val="center"/>
          </w:tcPr>
          <w:p w14:paraId="4D05EEFF">
            <w:pPr>
              <w:rPr>
                <w:rFonts w:hint="eastAsia" w:ascii="宋体" w:hAnsi="宋体" w:eastAsia="宋体" w:cs="宋体"/>
                <w:i w:val="0"/>
                <w:iCs w:val="0"/>
                <w:color w:val="000000"/>
                <w:sz w:val="18"/>
                <w:szCs w:val="18"/>
                <w:u w:val="none"/>
              </w:rPr>
            </w:pPr>
          </w:p>
        </w:tc>
        <w:tc>
          <w:tcPr>
            <w:tcW w:w="235" w:type="pct"/>
            <w:tcBorders>
              <w:top w:val="nil"/>
              <w:left w:val="nil"/>
              <w:bottom w:val="nil"/>
              <w:right w:val="nil"/>
            </w:tcBorders>
            <w:shd w:val="clear" w:color="auto" w:fill="auto"/>
            <w:vAlign w:val="center"/>
          </w:tcPr>
          <w:p w14:paraId="67E2A73B">
            <w:pPr>
              <w:rPr>
                <w:rFonts w:hint="eastAsia" w:ascii="宋体" w:hAnsi="宋体" w:eastAsia="宋体" w:cs="宋体"/>
                <w:i w:val="0"/>
                <w:iCs w:val="0"/>
                <w:color w:val="000000"/>
                <w:sz w:val="18"/>
                <w:szCs w:val="18"/>
                <w:u w:val="none"/>
              </w:rPr>
            </w:pPr>
          </w:p>
        </w:tc>
        <w:tc>
          <w:tcPr>
            <w:tcW w:w="495" w:type="pct"/>
            <w:tcBorders>
              <w:top w:val="nil"/>
              <w:left w:val="nil"/>
              <w:bottom w:val="nil"/>
              <w:right w:val="nil"/>
            </w:tcBorders>
            <w:shd w:val="clear" w:color="auto" w:fill="auto"/>
            <w:vAlign w:val="center"/>
          </w:tcPr>
          <w:p w14:paraId="018541CE">
            <w:pPr>
              <w:rPr>
                <w:rFonts w:hint="eastAsia" w:ascii="宋体" w:hAnsi="宋体" w:eastAsia="宋体" w:cs="宋体"/>
                <w:i w:val="0"/>
                <w:iCs w:val="0"/>
                <w:color w:val="000000"/>
                <w:sz w:val="18"/>
                <w:szCs w:val="18"/>
                <w:u w:val="none"/>
              </w:rPr>
            </w:pPr>
          </w:p>
        </w:tc>
        <w:tc>
          <w:tcPr>
            <w:tcW w:w="408" w:type="pct"/>
            <w:tcBorders>
              <w:top w:val="nil"/>
              <w:left w:val="nil"/>
              <w:bottom w:val="nil"/>
              <w:right w:val="nil"/>
            </w:tcBorders>
            <w:shd w:val="clear" w:color="auto" w:fill="auto"/>
            <w:vAlign w:val="center"/>
          </w:tcPr>
          <w:p w14:paraId="648DEE13">
            <w:pPr>
              <w:rPr>
                <w:rFonts w:hint="eastAsia" w:ascii="宋体" w:hAnsi="宋体" w:eastAsia="宋体" w:cs="宋体"/>
                <w:i w:val="0"/>
                <w:iCs w:val="0"/>
                <w:color w:val="000000"/>
                <w:sz w:val="18"/>
                <w:szCs w:val="18"/>
                <w:u w:val="none"/>
              </w:rPr>
            </w:pPr>
          </w:p>
        </w:tc>
        <w:tc>
          <w:tcPr>
            <w:tcW w:w="530" w:type="pct"/>
            <w:tcBorders>
              <w:top w:val="nil"/>
              <w:left w:val="nil"/>
              <w:bottom w:val="nil"/>
              <w:right w:val="nil"/>
            </w:tcBorders>
            <w:shd w:val="clear" w:color="auto" w:fill="auto"/>
            <w:vAlign w:val="center"/>
          </w:tcPr>
          <w:p w14:paraId="33133D95">
            <w:pPr>
              <w:rPr>
                <w:rFonts w:hint="eastAsia" w:ascii="宋体" w:hAnsi="宋体" w:eastAsia="宋体" w:cs="宋体"/>
                <w:i w:val="0"/>
                <w:iCs w:val="0"/>
                <w:color w:val="000000"/>
                <w:sz w:val="18"/>
                <w:szCs w:val="18"/>
                <w:u w:val="none"/>
              </w:rPr>
            </w:pPr>
          </w:p>
        </w:tc>
        <w:tc>
          <w:tcPr>
            <w:tcW w:w="231" w:type="pct"/>
            <w:tcBorders>
              <w:top w:val="nil"/>
              <w:left w:val="nil"/>
              <w:bottom w:val="nil"/>
              <w:right w:val="nil"/>
            </w:tcBorders>
            <w:shd w:val="clear" w:color="auto" w:fill="auto"/>
            <w:vAlign w:val="center"/>
          </w:tcPr>
          <w:p w14:paraId="5311FDA9">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685F6D9D">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1CE2DFDE">
            <w:pPr>
              <w:rPr>
                <w:rFonts w:hint="eastAsia" w:ascii="宋体" w:hAnsi="宋体" w:eastAsia="宋体" w:cs="宋体"/>
                <w:i w:val="0"/>
                <w:iCs w:val="0"/>
                <w:color w:val="000000"/>
                <w:sz w:val="18"/>
                <w:szCs w:val="18"/>
                <w:u w:val="none"/>
              </w:rPr>
            </w:pPr>
          </w:p>
        </w:tc>
      </w:tr>
      <w:tr w14:paraId="3D5D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2B2A3D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B00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41D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D660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51000022T000000392229-优抚对象医疗补助经费</w:t>
            </w:r>
          </w:p>
        </w:tc>
      </w:tr>
      <w:tr w14:paraId="7B21B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BEC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F343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23B660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C8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784C8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034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D3F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5D9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DD9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14:paraId="24B5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AC924">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59D2D">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0624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根据《军人抚恤优待条例》中"国家对一级至六级伤残军人的医疗费用按照规定予以保障"的规定，通过发放优抚对象医疗补助资金，对优抚对象住院和门诊费用进行补助，有效帮助解决优抚对象医疗难问题。</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650C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完成了我院1—4级31位残疾军人门诊、住院医疗。</w:t>
            </w:r>
          </w:p>
        </w:tc>
      </w:tr>
      <w:tr w14:paraId="69D2F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17BA8">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5A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43F9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资金及时足额保障</w:t>
            </w:r>
          </w:p>
        </w:tc>
      </w:tr>
      <w:tr w14:paraId="6806A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2A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87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9E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E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33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82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4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E8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0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7B96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1B7C4">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38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77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1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045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3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C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26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AECA6">
            <w:pPr>
              <w:rPr>
                <w:rFonts w:hint="eastAsia" w:ascii="宋体" w:hAnsi="宋体" w:eastAsia="宋体" w:cs="宋体"/>
                <w:i w:val="0"/>
                <w:iCs w:val="0"/>
                <w:color w:val="000000"/>
                <w:sz w:val="18"/>
                <w:szCs w:val="18"/>
                <w:u w:val="none"/>
              </w:rPr>
            </w:pPr>
          </w:p>
        </w:tc>
      </w:tr>
      <w:tr w14:paraId="2F2C8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8C1D6">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BD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5F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0F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4B4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AF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13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0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FA999">
            <w:pPr>
              <w:rPr>
                <w:rFonts w:hint="eastAsia" w:ascii="宋体" w:hAnsi="宋体" w:eastAsia="宋体" w:cs="宋体"/>
                <w:i w:val="0"/>
                <w:iCs w:val="0"/>
                <w:color w:val="000000"/>
                <w:sz w:val="18"/>
                <w:szCs w:val="18"/>
                <w:u w:val="none"/>
              </w:rPr>
            </w:pPr>
          </w:p>
        </w:tc>
      </w:tr>
      <w:tr w14:paraId="66C7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8C75D">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71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EE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59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32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7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C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2F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95527">
            <w:pPr>
              <w:rPr>
                <w:rFonts w:hint="eastAsia" w:ascii="宋体" w:hAnsi="宋体" w:eastAsia="宋体" w:cs="宋体"/>
                <w:i w:val="0"/>
                <w:iCs w:val="0"/>
                <w:color w:val="000000"/>
                <w:sz w:val="18"/>
                <w:szCs w:val="18"/>
                <w:u w:val="none"/>
              </w:rPr>
            </w:pPr>
          </w:p>
        </w:tc>
      </w:tr>
      <w:tr w14:paraId="54D6B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4261F">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B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07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38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2D0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D1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2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49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E5287">
            <w:pPr>
              <w:rPr>
                <w:rFonts w:hint="eastAsia" w:ascii="宋体" w:hAnsi="宋体" w:eastAsia="宋体" w:cs="宋体"/>
                <w:i w:val="0"/>
                <w:iCs w:val="0"/>
                <w:color w:val="000000"/>
                <w:sz w:val="18"/>
                <w:szCs w:val="18"/>
                <w:u w:val="none"/>
              </w:rPr>
            </w:pPr>
          </w:p>
        </w:tc>
      </w:tr>
      <w:tr w14:paraId="41608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3F445">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1D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9CB41">
            <w:pPr>
              <w:jc w:val="center"/>
              <w:rPr>
                <w:rFonts w:hint="eastAsia" w:ascii="宋体" w:hAnsi="宋体" w:eastAsia="宋体" w:cs="宋体"/>
                <w:i w:val="0"/>
                <w:iCs w:val="0"/>
                <w:color w:val="000000"/>
                <w:sz w:val="16"/>
                <w:szCs w:val="16"/>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81AB3">
            <w:pPr>
              <w:jc w:val="center"/>
              <w:rPr>
                <w:rFonts w:hint="eastAsia" w:ascii="宋体" w:hAnsi="宋体" w:eastAsia="宋体" w:cs="宋体"/>
                <w:i w:val="0"/>
                <w:iCs w:val="0"/>
                <w:color w:val="000000"/>
                <w:sz w:val="16"/>
                <w:szCs w:val="16"/>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691C4">
            <w:pPr>
              <w:jc w:val="center"/>
              <w:rPr>
                <w:rFonts w:hint="eastAsia" w:ascii="宋体" w:hAnsi="宋体" w:eastAsia="宋体" w:cs="宋体"/>
                <w:i w:val="0"/>
                <w:iCs w:val="0"/>
                <w:color w:val="000000"/>
                <w:sz w:val="16"/>
                <w:szCs w:val="16"/>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577C1">
            <w:pPr>
              <w:jc w:val="center"/>
              <w:rPr>
                <w:rFonts w:hint="eastAsia" w:ascii="宋体" w:hAnsi="宋体" w:eastAsia="宋体" w:cs="宋体"/>
                <w:i w:val="0"/>
                <w:iCs w:val="0"/>
                <w:color w:val="000000"/>
                <w:sz w:val="16"/>
                <w:szCs w:val="16"/>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3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55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398F8">
            <w:pPr>
              <w:rPr>
                <w:rFonts w:hint="eastAsia" w:ascii="宋体" w:hAnsi="宋体" w:eastAsia="宋体" w:cs="宋体"/>
                <w:i w:val="0"/>
                <w:iCs w:val="0"/>
                <w:color w:val="000000"/>
                <w:sz w:val="18"/>
                <w:szCs w:val="18"/>
                <w:u w:val="none"/>
              </w:rPr>
            </w:pPr>
          </w:p>
        </w:tc>
      </w:tr>
      <w:tr w14:paraId="42A42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98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FD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D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41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9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11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10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F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C9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CB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EC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8604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8BA27">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80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04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65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享受医疗待遇优抚对象人数</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B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F5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A3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0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F9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07A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67841">
            <w:pPr>
              <w:rPr>
                <w:rFonts w:hint="eastAsia" w:ascii="宋体" w:hAnsi="宋体" w:eastAsia="宋体" w:cs="宋体"/>
                <w:i w:val="0"/>
                <w:iCs w:val="0"/>
                <w:color w:val="000000"/>
                <w:sz w:val="18"/>
                <w:szCs w:val="18"/>
                <w:u w:val="none"/>
              </w:rPr>
            </w:pPr>
          </w:p>
        </w:tc>
      </w:tr>
      <w:tr w14:paraId="12379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F5241">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A4A0A">
            <w:pPr>
              <w:jc w:val="center"/>
              <w:rPr>
                <w:rFonts w:hint="eastAsia" w:ascii="宋体" w:hAnsi="宋体" w:eastAsia="宋体" w:cs="宋体"/>
                <w:i w:val="0"/>
                <w:iCs w:val="0"/>
                <w:color w:val="000000"/>
                <w:sz w:val="18"/>
                <w:szCs w:val="18"/>
                <w:u w:val="none"/>
              </w:rPr>
            </w:pP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E6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40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优抚对象医疗补助标准按规定执行率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C3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DF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F6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E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F9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FB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91EF">
            <w:pPr>
              <w:rPr>
                <w:rFonts w:hint="eastAsia" w:ascii="宋体" w:hAnsi="宋体" w:eastAsia="宋体" w:cs="宋体"/>
                <w:i w:val="0"/>
                <w:iCs w:val="0"/>
                <w:color w:val="000000"/>
                <w:sz w:val="18"/>
                <w:szCs w:val="18"/>
                <w:u w:val="none"/>
              </w:rPr>
            </w:pPr>
          </w:p>
        </w:tc>
      </w:tr>
      <w:tr w14:paraId="69CCE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5BD7D">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94BC2">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CBBF4">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21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经费足额拨付率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93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76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C05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87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DD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4B8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97ED1">
            <w:pPr>
              <w:rPr>
                <w:rFonts w:hint="eastAsia" w:ascii="宋体" w:hAnsi="宋体" w:eastAsia="宋体" w:cs="宋体"/>
                <w:i w:val="0"/>
                <w:iCs w:val="0"/>
                <w:color w:val="000000"/>
                <w:sz w:val="18"/>
                <w:szCs w:val="18"/>
                <w:u w:val="none"/>
              </w:rPr>
            </w:pPr>
          </w:p>
        </w:tc>
      </w:tr>
      <w:tr w14:paraId="78DF8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1FE37">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71105">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C8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8F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优抚对象医疗保障经费及时拨付率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E8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64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B6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6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4A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E5C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E578F">
            <w:pPr>
              <w:rPr>
                <w:rFonts w:hint="eastAsia" w:ascii="宋体" w:hAnsi="宋体" w:eastAsia="宋体" w:cs="宋体"/>
                <w:i w:val="0"/>
                <w:iCs w:val="0"/>
                <w:color w:val="000000"/>
                <w:sz w:val="18"/>
                <w:szCs w:val="18"/>
                <w:u w:val="none"/>
              </w:rPr>
            </w:pPr>
          </w:p>
        </w:tc>
      </w:tr>
      <w:tr w14:paraId="6611F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4C10">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7A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0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5C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优抚对象医疗难问题改善情况</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BC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01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持续改善</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4EC33">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7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持续改善</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27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CE0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E63AB">
            <w:pPr>
              <w:rPr>
                <w:rFonts w:hint="eastAsia" w:ascii="宋体" w:hAnsi="宋体" w:eastAsia="宋体" w:cs="宋体"/>
                <w:i w:val="0"/>
                <w:iCs w:val="0"/>
                <w:color w:val="000000"/>
                <w:sz w:val="18"/>
                <w:szCs w:val="18"/>
                <w:u w:val="none"/>
              </w:rPr>
            </w:pPr>
          </w:p>
        </w:tc>
      </w:tr>
      <w:tr w14:paraId="0523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02B8F">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22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1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D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C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CA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73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B2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E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B9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B88E">
            <w:pPr>
              <w:rPr>
                <w:rFonts w:hint="eastAsia" w:ascii="宋体" w:hAnsi="宋体" w:eastAsia="宋体" w:cs="宋体"/>
                <w:i w:val="0"/>
                <w:iCs w:val="0"/>
                <w:color w:val="000000"/>
                <w:sz w:val="18"/>
                <w:szCs w:val="18"/>
                <w:u w:val="none"/>
              </w:rPr>
            </w:pPr>
          </w:p>
        </w:tc>
      </w:tr>
      <w:tr w14:paraId="73369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3AF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3409">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333E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A0808">
            <w:pPr>
              <w:rPr>
                <w:rFonts w:hint="eastAsia" w:ascii="宋体" w:hAnsi="宋体" w:eastAsia="宋体" w:cs="宋体"/>
                <w:i w:val="0"/>
                <w:iCs w:val="0"/>
                <w:color w:val="000000"/>
                <w:sz w:val="18"/>
                <w:szCs w:val="18"/>
                <w:u w:val="none"/>
              </w:rPr>
            </w:pPr>
          </w:p>
        </w:tc>
      </w:tr>
      <w:tr w14:paraId="74CCF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D8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1FA8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总评价得分：100分。完成了我院1-4级伤残军人门诊、住院医疗。</w:t>
            </w:r>
          </w:p>
        </w:tc>
      </w:tr>
      <w:tr w14:paraId="34F0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91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4F40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19B03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CA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E9FA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0FA4D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18E2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项目负责人：彭彬</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8D5B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财务负责人：韦佳</w:t>
            </w:r>
          </w:p>
        </w:tc>
      </w:tr>
      <w:tr w14:paraId="5617A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783F69B8">
            <w:pPr>
              <w:rPr>
                <w:rFonts w:hint="eastAsia" w:ascii="宋体" w:hAnsi="宋体" w:eastAsia="宋体" w:cs="宋体"/>
                <w:i w:val="0"/>
                <w:iCs w:val="0"/>
                <w:color w:val="000000"/>
                <w:sz w:val="18"/>
                <w:szCs w:val="18"/>
                <w:u w:val="none"/>
              </w:rPr>
            </w:pPr>
          </w:p>
          <w:p w14:paraId="3A70723D">
            <w:pPr>
              <w:pStyle w:val="2"/>
              <w:rPr>
                <w:rFonts w:hint="eastAsia" w:ascii="宋体" w:hAnsi="宋体" w:eastAsia="宋体" w:cs="宋体"/>
                <w:i w:val="0"/>
                <w:iCs w:val="0"/>
                <w:color w:val="000000"/>
                <w:sz w:val="18"/>
                <w:szCs w:val="18"/>
                <w:u w:val="none"/>
              </w:rPr>
            </w:pPr>
          </w:p>
          <w:p w14:paraId="44075C8E">
            <w:pPr>
              <w:pStyle w:val="3"/>
              <w:rPr>
                <w:rFonts w:hint="eastAsia" w:ascii="宋体" w:hAnsi="宋体" w:eastAsia="宋体" w:cs="宋体"/>
                <w:i w:val="0"/>
                <w:iCs w:val="0"/>
                <w:color w:val="000000"/>
                <w:sz w:val="18"/>
                <w:szCs w:val="18"/>
                <w:u w:val="none"/>
              </w:rPr>
            </w:pPr>
          </w:p>
          <w:p w14:paraId="2EC2B716">
            <w:pPr>
              <w:pStyle w:val="3"/>
              <w:rPr>
                <w:rFonts w:hint="eastAsia" w:ascii="宋体" w:hAnsi="宋体" w:eastAsia="宋体" w:cs="宋体"/>
                <w:i w:val="0"/>
                <w:iCs w:val="0"/>
                <w:color w:val="000000"/>
                <w:sz w:val="18"/>
                <w:szCs w:val="18"/>
                <w:u w:val="none"/>
              </w:rPr>
            </w:pPr>
          </w:p>
          <w:p w14:paraId="55EE58EF">
            <w:pPr>
              <w:pStyle w:val="3"/>
              <w:rPr>
                <w:rFonts w:hint="eastAsia" w:ascii="宋体" w:hAnsi="宋体" w:eastAsia="宋体" w:cs="宋体"/>
                <w:i w:val="0"/>
                <w:iCs w:val="0"/>
                <w:color w:val="000000"/>
                <w:sz w:val="18"/>
                <w:szCs w:val="18"/>
                <w:u w:val="none"/>
              </w:rPr>
            </w:pPr>
          </w:p>
          <w:p w14:paraId="509F56E6">
            <w:pPr>
              <w:pStyle w:val="3"/>
              <w:rPr>
                <w:rFonts w:hint="eastAsia" w:ascii="宋体" w:hAnsi="宋体" w:eastAsia="宋体" w:cs="宋体"/>
                <w:i w:val="0"/>
                <w:iCs w:val="0"/>
                <w:color w:val="000000"/>
                <w:sz w:val="18"/>
                <w:szCs w:val="18"/>
                <w:u w:val="none"/>
              </w:rPr>
            </w:pPr>
          </w:p>
          <w:p w14:paraId="2ECC9283">
            <w:pPr>
              <w:pStyle w:val="3"/>
              <w:rPr>
                <w:rFonts w:hint="eastAsia" w:ascii="宋体" w:hAnsi="宋体" w:eastAsia="宋体" w:cs="宋体"/>
                <w:i w:val="0"/>
                <w:iCs w:val="0"/>
                <w:color w:val="000000"/>
                <w:sz w:val="18"/>
                <w:szCs w:val="18"/>
                <w:u w:val="none"/>
              </w:rPr>
            </w:pPr>
          </w:p>
          <w:p w14:paraId="53A26279">
            <w:pPr>
              <w:pStyle w:val="3"/>
              <w:rPr>
                <w:rFonts w:hint="eastAsia" w:ascii="宋体" w:hAnsi="宋体" w:eastAsia="宋体" w:cs="宋体"/>
                <w:i w:val="0"/>
                <w:iCs w:val="0"/>
                <w:color w:val="000000"/>
                <w:sz w:val="18"/>
                <w:szCs w:val="18"/>
                <w:u w:val="none"/>
              </w:rPr>
            </w:pPr>
          </w:p>
          <w:p w14:paraId="646D1DD3">
            <w:pPr>
              <w:pStyle w:val="3"/>
              <w:rPr>
                <w:rFonts w:hint="eastAsia" w:ascii="宋体" w:hAnsi="宋体" w:eastAsia="宋体" w:cs="宋体"/>
                <w:i w:val="0"/>
                <w:iCs w:val="0"/>
                <w:color w:val="000000"/>
                <w:sz w:val="18"/>
                <w:szCs w:val="18"/>
                <w:u w:val="none"/>
              </w:rPr>
            </w:pPr>
          </w:p>
          <w:p w14:paraId="2E716292">
            <w:pPr>
              <w:pStyle w:val="3"/>
              <w:rPr>
                <w:rFonts w:hint="eastAsia" w:ascii="宋体" w:hAnsi="宋体" w:eastAsia="宋体" w:cs="宋体"/>
                <w:i w:val="0"/>
                <w:iCs w:val="0"/>
                <w:color w:val="000000"/>
                <w:sz w:val="18"/>
                <w:szCs w:val="18"/>
                <w:u w:val="none"/>
              </w:rPr>
            </w:pPr>
          </w:p>
          <w:p w14:paraId="3A8D46CA">
            <w:pPr>
              <w:pStyle w:val="3"/>
              <w:rPr>
                <w:rFonts w:hint="eastAsia" w:ascii="宋体" w:hAnsi="宋体" w:eastAsia="宋体" w:cs="宋体"/>
                <w:i w:val="0"/>
                <w:iCs w:val="0"/>
                <w:color w:val="000000"/>
                <w:sz w:val="18"/>
                <w:szCs w:val="18"/>
                <w:u w:val="none"/>
              </w:rPr>
            </w:pPr>
          </w:p>
          <w:p w14:paraId="53E3A867">
            <w:pPr>
              <w:pStyle w:val="3"/>
              <w:rPr>
                <w:rFonts w:hint="eastAsia" w:ascii="宋体" w:hAnsi="宋体" w:eastAsia="宋体" w:cs="宋体"/>
                <w:i w:val="0"/>
                <w:iCs w:val="0"/>
                <w:color w:val="000000"/>
                <w:sz w:val="18"/>
                <w:szCs w:val="18"/>
                <w:u w:val="none"/>
              </w:rPr>
            </w:pPr>
          </w:p>
          <w:p w14:paraId="20D0479A">
            <w:pPr>
              <w:pStyle w:val="3"/>
              <w:rPr>
                <w:rFonts w:hint="eastAsia" w:ascii="宋体" w:hAnsi="宋体" w:eastAsia="宋体" w:cs="宋体"/>
                <w:i w:val="0"/>
                <w:iCs w:val="0"/>
                <w:color w:val="000000"/>
                <w:sz w:val="18"/>
                <w:szCs w:val="18"/>
                <w:u w:val="none"/>
              </w:rPr>
            </w:pPr>
          </w:p>
          <w:p w14:paraId="10DC78EE">
            <w:pPr>
              <w:pStyle w:val="3"/>
              <w:rPr>
                <w:rFonts w:hint="eastAsia" w:ascii="宋体" w:hAnsi="宋体" w:eastAsia="宋体" w:cs="宋体"/>
                <w:i w:val="0"/>
                <w:iCs w:val="0"/>
                <w:color w:val="000000"/>
                <w:sz w:val="18"/>
                <w:szCs w:val="18"/>
                <w:u w:val="none"/>
              </w:rPr>
            </w:pPr>
          </w:p>
          <w:p w14:paraId="602FDAEB">
            <w:pPr>
              <w:pStyle w:val="3"/>
              <w:ind w:left="0" w:leftChars="0" w:firstLine="0" w:firstLineChars="0"/>
              <w:rPr>
                <w:rFonts w:hint="eastAsia" w:ascii="宋体" w:hAnsi="宋体" w:eastAsia="宋体" w:cs="宋体"/>
                <w:i w:val="0"/>
                <w:iCs w:val="0"/>
                <w:color w:val="000000"/>
                <w:sz w:val="18"/>
                <w:szCs w:val="18"/>
                <w:u w:val="none"/>
              </w:rPr>
            </w:pPr>
          </w:p>
          <w:p w14:paraId="56F57047">
            <w:pPr>
              <w:pStyle w:val="3"/>
              <w:rPr>
                <w:rFonts w:hint="eastAsia" w:ascii="宋体" w:hAnsi="宋体" w:eastAsia="宋体" w:cs="宋体"/>
                <w:i w:val="0"/>
                <w:iCs w:val="0"/>
                <w:color w:val="000000"/>
                <w:sz w:val="18"/>
                <w:szCs w:val="18"/>
                <w:u w:val="none"/>
              </w:rPr>
            </w:pPr>
          </w:p>
        </w:tc>
        <w:tc>
          <w:tcPr>
            <w:tcW w:w="563" w:type="pct"/>
            <w:tcBorders>
              <w:top w:val="nil"/>
              <w:left w:val="nil"/>
              <w:bottom w:val="nil"/>
              <w:right w:val="nil"/>
            </w:tcBorders>
            <w:shd w:val="clear" w:color="auto" w:fill="auto"/>
            <w:vAlign w:val="center"/>
          </w:tcPr>
          <w:p w14:paraId="490F9C9F">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3386C8CC">
            <w:pPr>
              <w:rPr>
                <w:rFonts w:hint="eastAsia" w:ascii="宋体" w:hAnsi="宋体" w:eastAsia="宋体" w:cs="宋体"/>
                <w:i w:val="0"/>
                <w:iCs w:val="0"/>
                <w:color w:val="000000"/>
                <w:sz w:val="18"/>
                <w:szCs w:val="18"/>
                <w:u w:val="none"/>
              </w:rPr>
            </w:pPr>
          </w:p>
        </w:tc>
        <w:tc>
          <w:tcPr>
            <w:tcW w:w="565" w:type="pct"/>
            <w:tcBorders>
              <w:top w:val="nil"/>
              <w:left w:val="nil"/>
              <w:bottom w:val="nil"/>
              <w:right w:val="nil"/>
            </w:tcBorders>
            <w:shd w:val="clear" w:color="auto" w:fill="auto"/>
            <w:vAlign w:val="center"/>
          </w:tcPr>
          <w:p w14:paraId="146A2DE2">
            <w:pPr>
              <w:rPr>
                <w:rFonts w:hint="eastAsia" w:ascii="宋体" w:hAnsi="宋体" w:eastAsia="宋体" w:cs="宋体"/>
                <w:i w:val="0"/>
                <w:iCs w:val="0"/>
                <w:color w:val="000000"/>
                <w:sz w:val="18"/>
                <w:szCs w:val="18"/>
                <w:u w:val="none"/>
              </w:rPr>
            </w:pPr>
          </w:p>
        </w:tc>
        <w:tc>
          <w:tcPr>
            <w:tcW w:w="235" w:type="pct"/>
            <w:tcBorders>
              <w:top w:val="nil"/>
              <w:left w:val="nil"/>
              <w:bottom w:val="nil"/>
              <w:right w:val="nil"/>
            </w:tcBorders>
            <w:shd w:val="clear" w:color="auto" w:fill="auto"/>
            <w:vAlign w:val="center"/>
          </w:tcPr>
          <w:p w14:paraId="6E5FC1CD">
            <w:pPr>
              <w:rPr>
                <w:rFonts w:hint="eastAsia" w:ascii="宋体" w:hAnsi="宋体" w:eastAsia="宋体" w:cs="宋体"/>
                <w:i w:val="0"/>
                <w:iCs w:val="0"/>
                <w:color w:val="000000"/>
                <w:sz w:val="18"/>
                <w:szCs w:val="18"/>
                <w:u w:val="none"/>
              </w:rPr>
            </w:pPr>
          </w:p>
        </w:tc>
        <w:tc>
          <w:tcPr>
            <w:tcW w:w="495" w:type="pct"/>
            <w:tcBorders>
              <w:top w:val="nil"/>
              <w:left w:val="nil"/>
              <w:bottom w:val="nil"/>
              <w:right w:val="nil"/>
            </w:tcBorders>
            <w:shd w:val="clear" w:color="auto" w:fill="auto"/>
            <w:vAlign w:val="center"/>
          </w:tcPr>
          <w:p w14:paraId="1E0C7C2B">
            <w:pPr>
              <w:rPr>
                <w:rFonts w:hint="eastAsia" w:ascii="宋体" w:hAnsi="宋体" w:eastAsia="宋体" w:cs="宋体"/>
                <w:i w:val="0"/>
                <w:iCs w:val="0"/>
                <w:color w:val="000000"/>
                <w:sz w:val="18"/>
                <w:szCs w:val="18"/>
                <w:u w:val="none"/>
              </w:rPr>
            </w:pPr>
          </w:p>
        </w:tc>
        <w:tc>
          <w:tcPr>
            <w:tcW w:w="408" w:type="pct"/>
            <w:tcBorders>
              <w:top w:val="nil"/>
              <w:left w:val="nil"/>
              <w:bottom w:val="nil"/>
              <w:right w:val="nil"/>
            </w:tcBorders>
            <w:shd w:val="clear" w:color="auto" w:fill="auto"/>
            <w:vAlign w:val="center"/>
          </w:tcPr>
          <w:p w14:paraId="292B0AD6">
            <w:pPr>
              <w:rPr>
                <w:rFonts w:hint="eastAsia" w:ascii="宋体" w:hAnsi="宋体" w:eastAsia="宋体" w:cs="宋体"/>
                <w:i w:val="0"/>
                <w:iCs w:val="0"/>
                <w:color w:val="000000"/>
                <w:sz w:val="18"/>
                <w:szCs w:val="18"/>
                <w:u w:val="none"/>
              </w:rPr>
            </w:pPr>
          </w:p>
        </w:tc>
        <w:tc>
          <w:tcPr>
            <w:tcW w:w="530" w:type="pct"/>
            <w:tcBorders>
              <w:top w:val="nil"/>
              <w:left w:val="nil"/>
              <w:bottom w:val="nil"/>
              <w:right w:val="nil"/>
            </w:tcBorders>
            <w:shd w:val="clear" w:color="auto" w:fill="auto"/>
            <w:vAlign w:val="center"/>
          </w:tcPr>
          <w:p w14:paraId="1F4BD6F2">
            <w:pPr>
              <w:rPr>
                <w:rFonts w:hint="eastAsia" w:ascii="宋体" w:hAnsi="宋体" w:eastAsia="宋体" w:cs="宋体"/>
                <w:i w:val="0"/>
                <w:iCs w:val="0"/>
                <w:color w:val="000000"/>
                <w:sz w:val="18"/>
                <w:szCs w:val="18"/>
                <w:u w:val="none"/>
              </w:rPr>
            </w:pPr>
          </w:p>
        </w:tc>
        <w:tc>
          <w:tcPr>
            <w:tcW w:w="231" w:type="pct"/>
            <w:tcBorders>
              <w:top w:val="nil"/>
              <w:left w:val="nil"/>
              <w:bottom w:val="nil"/>
              <w:right w:val="nil"/>
            </w:tcBorders>
            <w:shd w:val="clear" w:color="auto" w:fill="auto"/>
            <w:vAlign w:val="center"/>
          </w:tcPr>
          <w:p w14:paraId="0531F87C">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535E9E56">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200F4DEC">
            <w:pPr>
              <w:rPr>
                <w:rFonts w:hint="eastAsia" w:ascii="宋体" w:hAnsi="宋体" w:eastAsia="宋体" w:cs="宋体"/>
                <w:i w:val="0"/>
                <w:iCs w:val="0"/>
                <w:color w:val="000000"/>
                <w:sz w:val="18"/>
                <w:szCs w:val="18"/>
                <w:u w:val="none"/>
              </w:rPr>
            </w:pPr>
          </w:p>
        </w:tc>
      </w:tr>
      <w:tr w14:paraId="79775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2B8484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5A6B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6C3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7541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51000022T000000392246-休养员生活补助</w:t>
            </w:r>
          </w:p>
        </w:tc>
      </w:tr>
      <w:tr w14:paraId="4219A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93A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D071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6DDEB3A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A8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1209B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E89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A80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3DF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E2B30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14:paraId="55BC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D0A93">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BEF42">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294A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根据《四川省退役军人事务厅 四川省财政厅关于调整2023年省级在院休养员生活补助标准的通知》（川退役军人发﹝2023﹞58号）、《四川省民政厅 四川省财政厅关于规范在院休养员生活补贴发放的通知》（川民发﹝2010﹞85号），我单位2024年投入109.12万元，为全院31名伤残军人发放生活补助，切实保障伤残军人待遇，体现党和政府对优抚对象的关心关爱。</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EF1E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完成了每月按时足额发放在院31位休养员生活补助费。</w:t>
            </w:r>
          </w:p>
        </w:tc>
      </w:tr>
      <w:tr w14:paraId="3CB2F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86066">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447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106D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每月初发放完成31名伤残军人的生活补助发放。</w:t>
            </w:r>
          </w:p>
        </w:tc>
      </w:tr>
      <w:tr w14:paraId="1C558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37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1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6F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95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F8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0E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8A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6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67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638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E946C">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0B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F9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109.12</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6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109.12</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D2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108.22</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5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99.17%</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09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8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E66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C23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B4C73">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D6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7F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109.12</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FA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109.12</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E31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108.22</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C1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99.17%</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8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CC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F4BFC">
            <w:pPr>
              <w:rPr>
                <w:rFonts w:hint="eastAsia" w:ascii="黑体" w:hAnsi="黑体" w:eastAsia="黑体" w:cs="黑体"/>
                <w:i w:val="0"/>
                <w:iCs w:val="0"/>
                <w:color w:val="000000"/>
                <w:sz w:val="18"/>
                <w:szCs w:val="18"/>
                <w:u w:val="none"/>
              </w:rPr>
            </w:pPr>
          </w:p>
        </w:tc>
      </w:tr>
      <w:tr w14:paraId="62C02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C7347">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EF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56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12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DFE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6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9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36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0A80C">
            <w:pPr>
              <w:rPr>
                <w:rFonts w:hint="eastAsia" w:ascii="黑体" w:hAnsi="黑体" w:eastAsia="黑体" w:cs="黑体"/>
                <w:i w:val="0"/>
                <w:iCs w:val="0"/>
                <w:color w:val="000000"/>
                <w:sz w:val="18"/>
                <w:szCs w:val="18"/>
                <w:u w:val="none"/>
              </w:rPr>
            </w:pPr>
          </w:p>
        </w:tc>
      </w:tr>
      <w:tr w14:paraId="0B593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E1E61">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77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EA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EE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C4F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22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D9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7A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E3250">
            <w:pPr>
              <w:rPr>
                <w:rFonts w:hint="eastAsia" w:ascii="黑体" w:hAnsi="黑体" w:eastAsia="黑体" w:cs="黑体"/>
                <w:i w:val="0"/>
                <w:iCs w:val="0"/>
                <w:color w:val="000000"/>
                <w:sz w:val="18"/>
                <w:szCs w:val="18"/>
                <w:u w:val="none"/>
              </w:rPr>
            </w:pPr>
          </w:p>
        </w:tc>
      </w:tr>
      <w:tr w14:paraId="5B45A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99AE1">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7F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65A8E">
            <w:pPr>
              <w:jc w:val="center"/>
              <w:rPr>
                <w:rFonts w:hint="eastAsia" w:ascii="微软雅黑" w:hAnsi="微软雅黑" w:eastAsia="微软雅黑" w:cs="微软雅黑"/>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5C520">
            <w:pPr>
              <w:jc w:val="center"/>
              <w:rPr>
                <w:rFonts w:hint="eastAsia" w:ascii="微软雅黑" w:hAnsi="微软雅黑" w:eastAsia="微软雅黑" w:cs="微软雅黑"/>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661A1">
            <w:pPr>
              <w:jc w:val="center"/>
              <w:rPr>
                <w:rFonts w:hint="eastAsia" w:ascii="微软雅黑" w:hAnsi="微软雅黑" w:eastAsia="微软雅黑" w:cs="微软雅黑"/>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BE192">
            <w:pPr>
              <w:jc w:val="center"/>
              <w:rPr>
                <w:rFonts w:hint="eastAsia" w:ascii="微软雅黑" w:hAnsi="微软雅黑" w:eastAsia="微软雅黑" w:cs="微软雅黑"/>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EE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04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E10A6">
            <w:pPr>
              <w:rPr>
                <w:rFonts w:hint="eastAsia" w:ascii="黑体" w:hAnsi="黑体" w:eastAsia="黑体" w:cs="黑体"/>
                <w:i w:val="0"/>
                <w:iCs w:val="0"/>
                <w:color w:val="000000"/>
                <w:sz w:val="18"/>
                <w:szCs w:val="18"/>
                <w:u w:val="none"/>
              </w:rPr>
            </w:pPr>
          </w:p>
        </w:tc>
      </w:tr>
      <w:tr w14:paraId="1A90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1B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36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84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75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AF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E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8C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25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F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65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D5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CFD4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AB290">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FE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3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F8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发放伤残军人生活补助人数</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A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0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5D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B2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5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C07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7F93">
            <w:pPr>
              <w:rPr>
                <w:rFonts w:hint="eastAsia" w:ascii="宋体" w:hAnsi="宋体" w:eastAsia="宋体" w:cs="宋体"/>
                <w:i w:val="0"/>
                <w:iCs w:val="0"/>
                <w:color w:val="000000"/>
                <w:sz w:val="18"/>
                <w:szCs w:val="18"/>
                <w:u w:val="none"/>
              </w:rPr>
            </w:pPr>
          </w:p>
        </w:tc>
      </w:tr>
      <w:tr w14:paraId="613E4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E242D">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B9FA6">
            <w:pPr>
              <w:jc w:val="center"/>
              <w:rPr>
                <w:rFonts w:hint="eastAsia" w:ascii="宋体" w:hAnsi="宋体" w:eastAsia="宋体" w:cs="宋体"/>
                <w:i w:val="0"/>
                <w:iCs w:val="0"/>
                <w:color w:val="000000"/>
                <w:sz w:val="18"/>
                <w:szCs w:val="18"/>
                <w:u w:val="none"/>
              </w:rPr>
            </w:pP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66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0D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休养员生活补助标准按规定执行率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E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40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4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8D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10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E95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5B754">
            <w:pPr>
              <w:rPr>
                <w:rFonts w:hint="eastAsia" w:ascii="宋体" w:hAnsi="宋体" w:eastAsia="宋体" w:cs="宋体"/>
                <w:i w:val="0"/>
                <w:iCs w:val="0"/>
                <w:color w:val="000000"/>
                <w:sz w:val="18"/>
                <w:szCs w:val="18"/>
                <w:u w:val="none"/>
              </w:rPr>
            </w:pPr>
          </w:p>
        </w:tc>
      </w:tr>
      <w:tr w14:paraId="1F6A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05D18">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88544">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92ED3">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9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经费足额拨付率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6E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7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04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1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8F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3C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FC69">
            <w:pPr>
              <w:rPr>
                <w:rFonts w:hint="eastAsia" w:ascii="宋体" w:hAnsi="宋体" w:eastAsia="宋体" w:cs="宋体"/>
                <w:i w:val="0"/>
                <w:iCs w:val="0"/>
                <w:color w:val="000000"/>
                <w:sz w:val="18"/>
                <w:szCs w:val="18"/>
                <w:u w:val="none"/>
              </w:rPr>
            </w:pPr>
          </w:p>
        </w:tc>
      </w:tr>
      <w:tr w14:paraId="3DBEB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B8E17">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DB840">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4A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E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完成时间</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48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8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7A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F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1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405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3FCC">
            <w:pPr>
              <w:rPr>
                <w:rFonts w:hint="eastAsia" w:ascii="宋体" w:hAnsi="宋体" w:eastAsia="宋体" w:cs="宋体"/>
                <w:i w:val="0"/>
                <w:iCs w:val="0"/>
                <w:color w:val="000000"/>
                <w:sz w:val="18"/>
                <w:szCs w:val="18"/>
                <w:u w:val="none"/>
              </w:rPr>
            </w:pPr>
          </w:p>
        </w:tc>
      </w:tr>
      <w:tr w14:paraId="33CFD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C2D55">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28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A2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94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提升优抚对象生活水平</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5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5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26308">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5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CA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FAF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F2C91">
            <w:pPr>
              <w:rPr>
                <w:rFonts w:hint="eastAsia" w:ascii="宋体" w:hAnsi="宋体" w:eastAsia="宋体" w:cs="宋体"/>
                <w:i w:val="0"/>
                <w:iCs w:val="0"/>
                <w:color w:val="000000"/>
                <w:sz w:val="18"/>
                <w:szCs w:val="18"/>
                <w:u w:val="none"/>
              </w:rPr>
            </w:pPr>
          </w:p>
        </w:tc>
      </w:tr>
      <w:tr w14:paraId="246E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9453F">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A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40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7E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C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AF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47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3A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5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32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CFEE0">
            <w:pPr>
              <w:rPr>
                <w:rFonts w:hint="eastAsia" w:ascii="宋体" w:hAnsi="宋体" w:eastAsia="宋体" w:cs="宋体"/>
                <w:i w:val="0"/>
                <w:iCs w:val="0"/>
                <w:color w:val="000000"/>
                <w:sz w:val="18"/>
                <w:szCs w:val="18"/>
                <w:u w:val="none"/>
              </w:rPr>
            </w:pPr>
          </w:p>
        </w:tc>
      </w:tr>
      <w:tr w14:paraId="388F2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F29AE">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93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A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B7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E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55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FF7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A6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108.22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1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41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E5CEE">
            <w:pPr>
              <w:rPr>
                <w:rFonts w:hint="eastAsia" w:ascii="宋体" w:hAnsi="宋体" w:eastAsia="宋体" w:cs="宋体"/>
                <w:i w:val="0"/>
                <w:iCs w:val="0"/>
                <w:color w:val="000000"/>
                <w:sz w:val="18"/>
                <w:szCs w:val="18"/>
                <w:u w:val="none"/>
              </w:rPr>
            </w:pPr>
          </w:p>
        </w:tc>
      </w:tr>
      <w:tr w14:paraId="3329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4B7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E0108">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AAB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5468C">
            <w:pPr>
              <w:rPr>
                <w:rFonts w:hint="eastAsia" w:ascii="宋体" w:hAnsi="宋体" w:eastAsia="宋体" w:cs="宋体"/>
                <w:i w:val="0"/>
                <w:iCs w:val="0"/>
                <w:color w:val="000000"/>
                <w:sz w:val="18"/>
                <w:szCs w:val="18"/>
                <w:u w:val="none"/>
              </w:rPr>
            </w:pPr>
          </w:p>
        </w:tc>
      </w:tr>
      <w:tr w14:paraId="28D76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45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9F47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总评价得分：99.92分。按时足额发放。</w:t>
            </w:r>
          </w:p>
        </w:tc>
      </w:tr>
      <w:tr w14:paraId="41B35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91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5DE0C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14:paraId="7926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07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612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14:paraId="10F31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B25D08">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项目负责人：彭彬</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6B055B">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财务负责人：韦佳</w:t>
            </w:r>
          </w:p>
        </w:tc>
      </w:tr>
      <w:tr w14:paraId="5C6A6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3BCC5357">
            <w:pPr>
              <w:rPr>
                <w:rFonts w:hint="eastAsia" w:ascii="宋体" w:hAnsi="宋体" w:eastAsia="宋体" w:cs="宋体"/>
                <w:i w:val="0"/>
                <w:iCs w:val="0"/>
                <w:color w:val="000000"/>
                <w:sz w:val="21"/>
                <w:szCs w:val="21"/>
                <w:u w:val="none"/>
              </w:rPr>
            </w:pPr>
          </w:p>
          <w:p w14:paraId="4994ADB0">
            <w:pPr>
              <w:pStyle w:val="2"/>
              <w:rPr>
                <w:rFonts w:hint="eastAsia" w:ascii="宋体" w:hAnsi="宋体" w:eastAsia="宋体" w:cs="宋体"/>
                <w:i w:val="0"/>
                <w:iCs w:val="0"/>
                <w:color w:val="000000"/>
                <w:sz w:val="21"/>
                <w:szCs w:val="21"/>
                <w:u w:val="none"/>
              </w:rPr>
            </w:pPr>
          </w:p>
          <w:p w14:paraId="67965C26">
            <w:pPr>
              <w:pStyle w:val="3"/>
              <w:rPr>
                <w:rFonts w:hint="eastAsia" w:ascii="宋体" w:hAnsi="宋体" w:eastAsia="宋体" w:cs="宋体"/>
                <w:i w:val="0"/>
                <w:iCs w:val="0"/>
                <w:color w:val="000000"/>
                <w:sz w:val="21"/>
                <w:szCs w:val="21"/>
                <w:u w:val="none"/>
              </w:rPr>
            </w:pPr>
          </w:p>
          <w:p w14:paraId="090A1F47">
            <w:pPr>
              <w:pStyle w:val="3"/>
              <w:rPr>
                <w:rFonts w:hint="eastAsia" w:ascii="宋体" w:hAnsi="宋体" w:eastAsia="宋体" w:cs="宋体"/>
                <w:i w:val="0"/>
                <w:iCs w:val="0"/>
                <w:color w:val="000000"/>
                <w:sz w:val="21"/>
                <w:szCs w:val="21"/>
                <w:u w:val="none"/>
              </w:rPr>
            </w:pPr>
          </w:p>
          <w:p w14:paraId="1C1703B0">
            <w:pPr>
              <w:pStyle w:val="3"/>
              <w:rPr>
                <w:rFonts w:hint="eastAsia" w:ascii="宋体" w:hAnsi="宋体" w:eastAsia="宋体" w:cs="宋体"/>
                <w:i w:val="0"/>
                <w:iCs w:val="0"/>
                <w:color w:val="000000"/>
                <w:sz w:val="21"/>
                <w:szCs w:val="21"/>
                <w:u w:val="none"/>
              </w:rPr>
            </w:pPr>
          </w:p>
          <w:p w14:paraId="266F34FB">
            <w:pPr>
              <w:pStyle w:val="3"/>
              <w:ind w:left="0" w:leftChars="0" w:firstLine="0" w:firstLineChars="0"/>
              <w:rPr>
                <w:rFonts w:hint="eastAsia" w:ascii="宋体" w:hAnsi="宋体" w:eastAsia="宋体" w:cs="宋体"/>
                <w:i w:val="0"/>
                <w:iCs w:val="0"/>
                <w:color w:val="000000"/>
                <w:sz w:val="21"/>
                <w:szCs w:val="21"/>
                <w:u w:val="none"/>
              </w:rPr>
            </w:pPr>
          </w:p>
          <w:p w14:paraId="1D12B6D1">
            <w:pPr>
              <w:pStyle w:val="3"/>
              <w:rPr>
                <w:rFonts w:hint="eastAsia" w:ascii="宋体" w:hAnsi="宋体" w:eastAsia="宋体" w:cs="宋体"/>
                <w:i w:val="0"/>
                <w:iCs w:val="0"/>
                <w:color w:val="000000"/>
                <w:sz w:val="21"/>
                <w:szCs w:val="21"/>
                <w:u w:val="none"/>
              </w:rPr>
            </w:pPr>
          </w:p>
        </w:tc>
        <w:tc>
          <w:tcPr>
            <w:tcW w:w="563" w:type="pct"/>
            <w:tcBorders>
              <w:top w:val="nil"/>
              <w:left w:val="nil"/>
              <w:bottom w:val="nil"/>
              <w:right w:val="nil"/>
            </w:tcBorders>
            <w:shd w:val="clear" w:color="auto" w:fill="auto"/>
            <w:vAlign w:val="center"/>
          </w:tcPr>
          <w:p w14:paraId="098C066E">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157E0E0A">
            <w:pPr>
              <w:rPr>
                <w:rFonts w:hint="eastAsia" w:ascii="宋体" w:hAnsi="宋体" w:eastAsia="宋体" w:cs="宋体"/>
                <w:i w:val="0"/>
                <w:iCs w:val="0"/>
                <w:color w:val="000000"/>
                <w:sz w:val="18"/>
                <w:szCs w:val="18"/>
                <w:u w:val="none"/>
              </w:rPr>
            </w:pPr>
          </w:p>
        </w:tc>
        <w:tc>
          <w:tcPr>
            <w:tcW w:w="565" w:type="pct"/>
            <w:tcBorders>
              <w:top w:val="nil"/>
              <w:left w:val="nil"/>
              <w:bottom w:val="nil"/>
              <w:right w:val="nil"/>
            </w:tcBorders>
            <w:shd w:val="clear" w:color="auto" w:fill="auto"/>
            <w:vAlign w:val="center"/>
          </w:tcPr>
          <w:p w14:paraId="37476518">
            <w:pPr>
              <w:rPr>
                <w:rFonts w:hint="eastAsia" w:ascii="宋体" w:hAnsi="宋体" w:eastAsia="宋体" w:cs="宋体"/>
                <w:i w:val="0"/>
                <w:iCs w:val="0"/>
                <w:color w:val="000000"/>
                <w:sz w:val="18"/>
                <w:szCs w:val="18"/>
                <w:u w:val="none"/>
              </w:rPr>
            </w:pPr>
          </w:p>
        </w:tc>
        <w:tc>
          <w:tcPr>
            <w:tcW w:w="235" w:type="pct"/>
            <w:tcBorders>
              <w:top w:val="nil"/>
              <w:left w:val="nil"/>
              <w:bottom w:val="nil"/>
              <w:right w:val="nil"/>
            </w:tcBorders>
            <w:shd w:val="clear" w:color="auto" w:fill="auto"/>
            <w:vAlign w:val="center"/>
          </w:tcPr>
          <w:p w14:paraId="5DD6891C">
            <w:pPr>
              <w:rPr>
                <w:rFonts w:hint="eastAsia" w:ascii="宋体" w:hAnsi="宋体" w:eastAsia="宋体" w:cs="宋体"/>
                <w:i w:val="0"/>
                <w:iCs w:val="0"/>
                <w:color w:val="000000"/>
                <w:sz w:val="18"/>
                <w:szCs w:val="18"/>
                <w:u w:val="none"/>
              </w:rPr>
            </w:pPr>
          </w:p>
        </w:tc>
        <w:tc>
          <w:tcPr>
            <w:tcW w:w="495" w:type="pct"/>
            <w:tcBorders>
              <w:top w:val="nil"/>
              <w:left w:val="nil"/>
              <w:bottom w:val="nil"/>
              <w:right w:val="nil"/>
            </w:tcBorders>
            <w:shd w:val="clear" w:color="auto" w:fill="auto"/>
            <w:vAlign w:val="center"/>
          </w:tcPr>
          <w:p w14:paraId="575C1E40">
            <w:pPr>
              <w:rPr>
                <w:rFonts w:hint="eastAsia" w:ascii="宋体" w:hAnsi="宋体" w:eastAsia="宋体" w:cs="宋体"/>
                <w:i w:val="0"/>
                <w:iCs w:val="0"/>
                <w:color w:val="000000"/>
                <w:sz w:val="18"/>
                <w:szCs w:val="18"/>
                <w:u w:val="none"/>
              </w:rPr>
            </w:pPr>
          </w:p>
        </w:tc>
        <w:tc>
          <w:tcPr>
            <w:tcW w:w="408" w:type="pct"/>
            <w:tcBorders>
              <w:top w:val="nil"/>
              <w:left w:val="nil"/>
              <w:bottom w:val="nil"/>
              <w:right w:val="nil"/>
            </w:tcBorders>
            <w:shd w:val="clear" w:color="auto" w:fill="auto"/>
            <w:vAlign w:val="center"/>
          </w:tcPr>
          <w:p w14:paraId="60E2F78E">
            <w:pPr>
              <w:rPr>
                <w:rFonts w:hint="eastAsia" w:ascii="宋体" w:hAnsi="宋体" w:eastAsia="宋体" w:cs="宋体"/>
                <w:i w:val="0"/>
                <w:iCs w:val="0"/>
                <w:color w:val="000000"/>
                <w:sz w:val="18"/>
                <w:szCs w:val="18"/>
                <w:u w:val="none"/>
              </w:rPr>
            </w:pPr>
          </w:p>
        </w:tc>
        <w:tc>
          <w:tcPr>
            <w:tcW w:w="530" w:type="pct"/>
            <w:tcBorders>
              <w:top w:val="nil"/>
              <w:left w:val="nil"/>
              <w:bottom w:val="nil"/>
              <w:right w:val="nil"/>
            </w:tcBorders>
            <w:shd w:val="clear" w:color="auto" w:fill="auto"/>
            <w:vAlign w:val="center"/>
          </w:tcPr>
          <w:p w14:paraId="1A48E459">
            <w:pPr>
              <w:rPr>
                <w:rFonts w:hint="eastAsia" w:ascii="宋体" w:hAnsi="宋体" w:eastAsia="宋体" w:cs="宋体"/>
                <w:i w:val="0"/>
                <w:iCs w:val="0"/>
                <w:color w:val="000000"/>
                <w:sz w:val="18"/>
                <w:szCs w:val="18"/>
                <w:u w:val="none"/>
              </w:rPr>
            </w:pPr>
          </w:p>
        </w:tc>
        <w:tc>
          <w:tcPr>
            <w:tcW w:w="231" w:type="pct"/>
            <w:tcBorders>
              <w:top w:val="nil"/>
              <w:left w:val="nil"/>
              <w:bottom w:val="nil"/>
              <w:right w:val="nil"/>
            </w:tcBorders>
            <w:shd w:val="clear" w:color="auto" w:fill="auto"/>
            <w:vAlign w:val="center"/>
          </w:tcPr>
          <w:p w14:paraId="2A6736CA">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6E3425FC">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405D2865">
            <w:pPr>
              <w:rPr>
                <w:rFonts w:hint="eastAsia" w:ascii="宋体" w:hAnsi="宋体" w:eastAsia="宋体" w:cs="宋体"/>
                <w:i w:val="0"/>
                <w:iCs w:val="0"/>
                <w:color w:val="000000"/>
                <w:sz w:val="18"/>
                <w:szCs w:val="18"/>
                <w:u w:val="none"/>
              </w:rPr>
            </w:pPr>
          </w:p>
        </w:tc>
      </w:tr>
      <w:tr w14:paraId="732F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12D4B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ACD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AF6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ADD0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51000023T000007998710-优抚安置事业单位维修改造和设备购置（311904）</w:t>
            </w:r>
          </w:p>
        </w:tc>
      </w:tr>
      <w:tr w14:paraId="5A6B4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2C0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0081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504FEE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FF3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6FA5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999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38B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B7E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E3CFE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14:paraId="2D8ED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0940D">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F476E">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3C9B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优抚安置事业单位补助经费使用管理办法》的规定，按照省厅要求，结合我院实际及重点工作任务，购置医疗设备一批，综合楼5-6楼床位改造等维修改造，荣军休养楼设施设备购置，改善伤残军人医疗环境、休养环境。</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4ECB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圆满完成了综合楼5-6层维修改造工程的尾款结算工作，并顺利完成了医疗设备采购的验收及尾款支付任务。同时，2024年度优抚安置事业单位维修改造及设备购置项目亦已圆满完成，相关款项均已全额支付。</w:t>
            </w:r>
          </w:p>
        </w:tc>
      </w:tr>
      <w:tr w14:paraId="116A6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2D881">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2D4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073E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上半年圆满完成了综合楼5-6层维修改造工程的尾款结算工作，并在2024年4月顺利完成了医疗设备采购的验收及尾款支付任务。同时，2024年度优抚安置事业单位维修改造及设备购置项目亦已圆满完成，相关款项均已全额支付。</w:t>
            </w:r>
          </w:p>
        </w:tc>
      </w:tr>
      <w:tr w14:paraId="39C9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B0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24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A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BC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79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6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5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3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0C6F">
            <w:pPr>
              <w:keepNext w:val="0"/>
              <w:keepLines w:val="0"/>
              <w:widowControl/>
              <w:suppressLineNumbers w:val="0"/>
              <w:ind w:firstLine="360" w:firstLineChars="20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原因</w:t>
            </w:r>
          </w:p>
        </w:tc>
      </w:tr>
      <w:tr w14:paraId="55F09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BBE4E">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A5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1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1,774.34</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A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1,774.34</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5C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1,571.48</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02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88.57%</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FB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E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8.86</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6BD2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在政府采购平台执行的项目金额比预算金额低，但所有项目全部执行完毕。</w:t>
            </w:r>
          </w:p>
        </w:tc>
      </w:tr>
      <w:tr w14:paraId="3A5FF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D9AE6">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6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D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1,618.82</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9A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1,618.82</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6C9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1,535.88</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C6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94.88%</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4C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68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B28A9">
            <w:pPr>
              <w:rPr>
                <w:rFonts w:hint="eastAsia" w:ascii="黑体" w:hAnsi="黑体" w:eastAsia="黑体" w:cs="黑体"/>
                <w:i w:val="0"/>
                <w:iCs w:val="0"/>
                <w:color w:val="000000"/>
                <w:sz w:val="18"/>
                <w:szCs w:val="18"/>
                <w:u w:val="none"/>
              </w:rPr>
            </w:pPr>
          </w:p>
        </w:tc>
      </w:tr>
      <w:tr w14:paraId="241C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FB07A">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A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02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E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1C4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FE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8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91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BEA1F">
            <w:pPr>
              <w:rPr>
                <w:rFonts w:hint="eastAsia" w:ascii="黑体" w:hAnsi="黑体" w:eastAsia="黑体" w:cs="黑体"/>
                <w:i w:val="0"/>
                <w:iCs w:val="0"/>
                <w:color w:val="000000"/>
                <w:sz w:val="18"/>
                <w:szCs w:val="18"/>
                <w:u w:val="none"/>
              </w:rPr>
            </w:pPr>
          </w:p>
        </w:tc>
      </w:tr>
      <w:tr w14:paraId="3B8F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DB8D5">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A8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1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155.52</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A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155.52</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E3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35.59</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BD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0B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31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71CD3">
            <w:pPr>
              <w:rPr>
                <w:rFonts w:hint="eastAsia" w:ascii="黑体" w:hAnsi="黑体" w:eastAsia="黑体" w:cs="黑体"/>
                <w:i w:val="0"/>
                <w:iCs w:val="0"/>
                <w:color w:val="000000"/>
                <w:sz w:val="18"/>
                <w:szCs w:val="18"/>
                <w:u w:val="none"/>
              </w:rPr>
            </w:pPr>
          </w:p>
        </w:tc>
      </w:tr>
      <w:tr w14:paraId="60A17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AC2A7">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04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AD3F8">
            <w:pPr>
              <w:jc w:val="center"/>
              <w:rPr>
                <w:rFonts w:hint="eastAsia" w:ascii="微软雅黑" w:hAnsi="微软雅黑" w:eastAsia="微软雅黑" w:cs="微软雅黑"/>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966BF">
            <w:pPr>
              <w:jc w:val="center"/>
              <w:rPr>
                <w:rFonts w:hint="eastAsia" w:ascii="微软雅黑" w:hAnsi="微软雅黑" w:eastAsia="微软雅黑" w:cs="微软雅黑"/>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11BD0">
            <w:pPr>
              <w:jc w:val="center"/>
              <w:rPr>
                <w:rFonts w:hint="eastAsia" w:ascii="微软雅黑" w:hAnsi="微软雅黑" w:eastAsia="微软雅黑" w:cs="微软雅黑"/>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DF9B">
            <w:pPr>
              <w:jc w:val="center"/>
              <w:rPr>
                <w:rFonts w:hint="eastAsia" w:ascii="微软雅黑" w:hAnsi="微软雅黑" w:eastAsia="微软雅黑" w:cs="微软雅黑"/>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11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D1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06B32">
            <w:pPr>
              <w:rPr>
                <w:rFonts w:hint="eastAsia" w:ascii="黑体" w:hAnsi="黑体" w:eastAsia="黑体" w:cs="黑体"/>
                <w:i w:val="0"/>
                <w:iCs w:val="0"/>
                <w:color w:val="000000"/>
                <w:sz w:val="18"/>
                <w:szCs w:val="18"/>
                <w:u w:val="none"/>
              </w:rPr>
            </w:pPr>
          </w:p>
        </w:tc>
      </w:tr>
      <w:tr w14:paraId="369DF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6B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F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05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B4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13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02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19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E0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99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40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A7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4FC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0FE8D">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51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E3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0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维修改造总面积</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45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6A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4F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D2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10495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D6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6C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D0867">
            <w:pPr>
              <w:jc w:val="center"/>
              <w:rPr>
                <w:rFonts w:hint="eastAsia" w:ascii="宋体" w:hAnsi="宋体" w:eastAsia="宋体" w:cs="宋体"/>
                <w:i w:val="0"/>
                <w:iCs w:val="0"/>
                <w:color w:val="000000"/>
                <w:sz w:val="18"/>
                <w:szCs w:val="18"/>
                <w:u w:val="none"/>
              </w:rPr>
            </w:pPr>
          </w:p>
        </w:tc>
      </w:tr>
      <w:tr w14:paraId="0ADBA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4E85A">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6EE76">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E6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5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维修改造质量</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EE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C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65F8">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59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8F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C2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67B7A">
            <w:pPr>
              <w:jc w:val="center"/>
              <w:rPr>
                <w:rFonts w:hint="eastAsia" w:ascii="宋体" w:hAnsi="宋体" w:eastAsia="宋体" w:cs="宋体"/>
                <w:i w:val="0"/>
                <w:iCs w:val="0"/>
                <w:color w:val="000000"/>
                <w:sz w:val="18"/>
                <w:szCs w:val="18"/>
                <w:u w:val="none"/>
              </w:rPr>
            </w:pPr>
          </w:p>
        </w:tc>
      </w:tr>
      <w:tr w14:paraId="23D29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BFF17">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A2698">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2C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0A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完成时间</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68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C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CA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F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default" w:ascii="Times New Roman" w:hAnsi="Times New Roman" w:eastAsia="宋体" w:cs="Times New Roman"/>
                <w:i w:val="0"/>
                <w:iCs w:val="0"/>
                <w:color w:val="000000"/>
                <w:kern w:val="0"/>
                <w:sz w:val="16"/>
                <w:szCs w:val="16"/>
                <w:u w:val="none"/>
                <w:lang w:val="en-US" w:eastAsia="zh-CN" w:bidi="ar"/>
              </w:rPr>
              <w:t>10</w:t>
            </w:r>
            <w:r>
              <w:rPr>
                <w:rFonts w:hint="eastAsia" w:ascii="宋体" w:hAnsi="宋体" w:eastAsia="宋体" w:cs="宋体"/>
                <w:i w:val="0"/>
                <w:iCs w:val="0"/>
                <w:color w:val="000000"/>
                <w:kern w:val="0"/>
                <w:sz w:val="16"/>
                <w:szCs w:val="16"/>
                <w:u w:val="none"/>
                <w:lang w:val="en-US" w:eastAsia="zh-CN" w:bidi="ar"/>
              </w:rPr>
              <w:t>月</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3B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10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9DF39">
            <w:pPr>
              <w:jc w:val="center"/>
              <w:rPr>
                <w:rFonts w:hint="eastAsia" w:ascii="宋体" w:hAnsi="宋体" w:eastAsia="宋体" w:cs="宋体"/>
                <w:i w:val="0"/>
                <w:iCs w:val="0"/>
                <w:color w:val="000000"/>
                <w:sz w:val="18"/>
                <w:szCs w:val="18"/>
                <w:u w:val="none"/>
              </w:rPr>
            </w:pPr>
          </w:p>
        </w:tc>
      </w:tr>
      <w:tr w14:paraId="1899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96807">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AC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A3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4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医疗环境</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41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C7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EDDB2">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0B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B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CB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0162">
            <w:pPr>
              <w:jc w:val="center"/>
              <w:rPr>
                <w:rFonts w:hint="eastAsia" w:ascii="宋体" w:hAnsi="宋体" w:eastAsia="宋体" w:cs="宋体"/>
                <w:i w:val="0"/>
                <w:iCs w:val="0"/>
                <w:color w:val="000000"/>
                <w:sz w:val="18"/>
                <w:szCs w:val="18"/>
                <w:u w:val="none"/>
              </w:rPr>
            </w:pPr>
          </w:p>
        </w:tc>
      </w:tr>
      <w:tr w14:paraId="1A50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02E96">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CAE53">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5E358">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2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疗养环境</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93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5D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659A">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46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74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A9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DB897">
            <w:pPr>
              <w:jc w:val="center"/>
              <w:rPr>
                <w:rFonts w:hint="eastAsia" w:ascii="宋体" w:hAnsi="宋体" w:eastAsia="宋体" w:cs="宋体"/>
                <w:i w:val="0"/>
                <w:iCs w:val="0"/>
                <w:color w:val="000000"/>
                <w:sz w:val="18"/>
                <w:szCs w:val="18"/>
                <w:u w:val="none"/>
              </w:rPr>
            </w:pPr>
          </w:p>
        </w:tc>
      </w:tr>
      <w:tr w14:paraId="03AB1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EEA04">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68EB9">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2783D">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E7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休养环境</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F2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3B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A3693">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E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E2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4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383CA">
            <w:pPr>
              <w:jc w:val="center"/>
              <w:rPr>
                <w:rFonts w:hint="eastAsia" w:ascii="宋体" w:hAnsi="宋体" w:eastAsia="宋体" w:cs="宋体"/>
                <w:i w:val="0"/>
                <w:iCs w:val="0"/>
                <w:color w:val="000000"/>
                <w:sz w:val="18"/>
                <w:szCs w:val="18"/>
                <w:u w:val="none"/>
              </w:rPr>
            </w:pPr>
          </w:p>
        </w:tc>
      </w:tr>
      <w:tr w14:paraId="1868A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8636A">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8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2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44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D4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AC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D4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56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5C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FE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637F1">
            <w:pPr>
              <w:jc w:val="center"/>
              <w:rPr>
                <w:rFonts w:hint="eastAsia" w:ascii="宋体" w:hAnsi="宋体" w:eastAsia="宋体" w:cs="宋体"/>
                <w:i w:val="0"/>
                <w:iCs w:val="0"/>
                <w:color w:val="000000"/>
                <w:sz w:val="18"/>
                <w:szCs w:val="18"/>
                <w:u w:val="none"/>
              </w:rPr>
            </w:pPr>
          </w:p>
        </w:tc>
      </w:tr>
      <w:tr w14:paraId="58F24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E41E5">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E0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E7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4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维修改造成本</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7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A5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65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0F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1142.17</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B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7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8429B">
            <w:pPr>
              <w:jc w:val="center"/>
              <w:rPr>
                <w:rFonts w:hint="eastAsia" w:ascii="宋体" w:hAnsi="宋体" w:eastAsia="宋体" w:cs="宋体"/>
                <w:i w:val="0"/>
                <w:iCs w:val="0"/>
                <w:color w:val="000000"/>
                <w:sz w:val="18"/>
                <w:szCs w:val="18"/>
                <w:u w:val="none"/>
              </w:rPr>
            </w:pPr>
          </w:p>
        </w:tc>
      </w:tr>
      <w:tr w14:paraId="107A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0BF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2E2F9">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B26C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98.86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AE19">
            <w:pPr>
              <w:rPr>
                <w:rFonts w:hint="eastAsia" w:ascii="宋体" w:hAnsi="宋体" w:eastAsia="宋体" w:cs="宋体"/>
                <w:i w:val="0"/>
                <w:iCs w:val="0"/>
                <w:color w:val="000000"/>
                <w:sz w:val="18"/>
                <w:szCs w:val="18"/>
                <w:u w:val="none"/>
              </w:rPr>
            </w:pPr>
          </w:p>
        </w:tc>
      </w:tr>
      <w:tr w14:paraId="442CD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17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B9E5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总评价得分：98.86分。严格按照相关资金专项管理办法，专款专用，紧紧围绕更好满足残疾退役军人等优抚对象医疗和供养需求。</w:t>
            </w:r>
          </w:p>
        </w:tc>
      </w:tr>
      <w:tr w14:paraId="1A42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79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6820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项目进展实施进度滞后。</w:t>
            </w:r>
          </w:p>
        </w:tc>
      </w:tr>
      <w:tr w14:paraId="4A76A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F9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BE41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进一步严格把控项目进度，落实每项实施进度，确保每个环节都按照预定的时间表推进。</w:t>
            </w:r>
          </w:p>
        </w:tc>
      </w:tr>
      <w:tr w14:paraId="4E0C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F84E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项目负责人：张延鹤</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6461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财务负责人：韦佳</w:t>
            </w:r>
          </w:p>
        </w:tc>
      </w:tr>
      <w:tr w14:paraId="00113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592482F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31E715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6688915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68B57B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04628A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00EB35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2266B0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2064878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0338546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1B624BF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51D8190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12ED40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28F406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183C61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233486B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1FEEE24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62B616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30ADD72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1FC4A2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19FCCF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7A3C1D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63" w:type="pct"/>
            <w:tcBorders>
              <w:top w:val="nil"/>
              <w:left w:val="nil"/>
              <w:bottom w:val="nil"/>
              <w:right w:val="nil"/>
            </w:tcBorders>
            <w:shd w:val="clear" w:color="auto" w:fill="auto"/>
            <w:vAlign w:val="center"/>
          </w:tcPr>
          <w:p w14:paraId="731B35D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49" w:type="pct"/>
            <w:tcBorders>
              <w:top w:val="nil"/>
              <w:left w:val="nil"/>
              <w:bottom w:val="nil"/>
              <w:right w:val="nil"/>
            </w:tcBorders>
            <w:shd w:val="clear" w:color="auto" w:fill="auto"/>
            <w:vAlign w:val="center"/>
          </w:tcPr>
          <w:p w14:paraId="1E51F77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0E85270F">
            <w:pPr>
              <w:pStyle w:val="2"/>
              <w:rPr>
                <w:rFonts w:hint="eastAsia"/>
                <w:lang w:val="en-US" w:eastAsia="zh-CN"/>
              </w:rPr>
            </w:pPr>
          </w:p>
          <w:p w14:paraId="5275D0DE">
            <w:pPr>
              <w:pStyle w:val="3"/>
              <w:rPr>
                <w:rFonts w:hint="eastAsia"/>
                <w:lang w:val="en-US" w:eastAsia="zh-CN"/>
              </w:rPr>
            </w:pPr>
          </w:p>
          <w:p w14:paraId="59CF1971">
            <w:pPr>
              <w:pStyle w:val="3"/>
              <w:rPr>
                <w:rFonts w:hint="eastAsia"/>
                <w:lang w:val="en-US" w:eastAsia="zh-CN"/>
              </w:rPr>
            </w:pPr>
          </w:p>
          <w:p w14:paraId="018B563E">
            <w:pPr>
              <w:pStyle w:val="3"/>
              <w:rPr>
                <w:rFonts w:hint="eastAsia"/>
                <w:lang w:val="en-US" w:eastAsia="zh-CN"/>
              </w:rPr>
            </w:pPr>
          </w:p>
          <w:p w14:paraId="56C6D398">
            <w:pPr>
              <w:pStyle w:val="3"/>
              <w:rPr>
                <w:rFonts w:hint="eastAsia"/>
                <w:lang w:val="en-US" w:eastAsia="zh-CN"/>
              </w:rPr>
            </w:pPr>
          </w:p>
          <w:p w14:paraId="49B4D745">
            <w:pPr>
              <w:pStyle w:val="3"/>
              <w:rPr>
                <w:rFonts w:hint="eastAsia"/>
                <w:lang w:val="en-US" w:eastAsia="zh-CN"/>
              </w:rPr>
            </w:pPr>
          </w:p>
        </w:tc>
        <w:tc>
          <w:tcPr>
            <w:tcW w:w="565" w:type="pct"/>
            <w:tcBorders>
              <w:top w:val="nil"/>
              <w:left w:val="nil"/>
              <w:bottom w:val="nil"/>
              <w:right w:val="nil"/>
            </w:tcBorders>
            <w:shd w:val="clear" w:color="auto" w:fill="auto"/>
            <w:vAlign w:val="center"/>
          </w:tcPr>
          <w:p w14:paraId="22E58A8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35" w:type="pct"/>
            <w:tcBorders>
              <w:top w:val="nil"/>
              <w:left w:val="nil"/>
              <w:bottom w:val="nil"/>
              <w:right w:val="nil"/>
            </w:tcBorders>
            <w:shd w:val="clear" w:color="auto" w:fill="auto"/>
            <w:vAlign w:val="center"/>
          </w:tcPr>
          <w:p w14:paraId="0D5253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495" w:type="pct"/>
            <w:tcBorders>
              <w:top w:val="nil"/>
              <w:left w:val="nil"/>
              <w:bottom w:val="nil"/>
              <w:right w:val="nil"/>
            </w:tcBorders>
            <w:shd w:val="clear" w:color="auto" w:fill="auto"/>
            <w:vAlign w:val="center"/>
          </w:tcPr>
          <w:p w14:paraId="2EB3E6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408" w:type="pct"/>
            <w:tcBorders>
              <w:top w:val="nil"/>
              <w:left w:val="nil"/>
              <w:bottom w:val="nil"/>
              <w:right w:val="nil"/>
            </w:tcBorders>
            <w:shd w:val="clear" w:color="auto" w:fill="auto"/>
            <w:vAlign w:val="center"/>
          </w:tcPr>
          <w:p w14:paraId="7B0404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30" w:type="pct"/>
            <w:tcBorders>
              <w:top w:val="nil"/>
              <w:left w:val="nil"/>
              <w:bottom w:val="nil"/>
              <w:right w:val="nil"/>
            </w:tcBorders>
            <w:shd w:val="clear" w:color="auto" w:fill="auto"/>
            <w:vAlign w:val="center"/>
          </w:tcPr>
          <w:p w14:paraId="02889BF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31" w:type="pct"/>
            <w:tcBorders>
              <w:top w:val="nil"/>
              <w:left w:val="nil"/>
              <w:bottom w:val="nil"/>
              <w:right w:val="nil"/>
            </w:tcBorders>
            <w:shd w:val="clear" w:color="auto" w:fill="auto"/>
            <w:vAlign w:val="center"/>
          </w:tcPr>
          <w:p w14:paraId="615D9729">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34195466">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2925E0FC">
            <w:pPr>
              <w:rPr>
                <w:rFonts w:hint="eastAsia" w:ascii="宋体" w:hAnsi="宋体" w:eastAsia="宋体" w:cs="宋体"/>
                <w:i w:val="0"/>
                <w:iCs w:val="0"/>
                <w:color w:val="000000"/>
                <w:sz w:val="18"/>
                <w:szCs w:val="18"/>
                <w:u w:val="none"/>
              </w:rPr>
            </w:pPr>
          </w:p>
        </w:tc>
      </w:tr>
      <w:tr w14:paraId="2310E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0C0C96F9">
            <w:pPr>
              <w:pStyle w:val="3"/>
              <w:ind w:left="0" w:leftChars="0" w:firstLine="0" w:firstLineChars="0"/>
              <w:rPr>
                <w:rFonts w:hint="eastAsia" w:ascii="宋体" w:hAnsi="宋体" w:eastAsia="宋体" w:cs="宋体"/>
                <w:i w:val="0"/>
                <w:iCs w:val="0"/>
                <w:color w:val="000000"/>
                <w:kern w:val="0"/>
                <w:sz w:val="18"/>
                <w:szCs w:val="18"/>
                <w:u w:val="none"/>
                <w:lang w:val="en-US" w:eastAsia="zh-CN" w:bidi="ar"/>
              </w:rPr>
            </w:pPr>
          </w:p>
        </w:tc>
        <w:tc>
          <w:tcPr>
            <w:tcW w:w="563" w:type="pct"/>
            <w:tcBorders>
              <w:top w:val="nil"/>
              <w:left w:val="nil"/>
              <w:bottom w:val="nil"/>
              <w:right w:val="nil"/>
            </w:tcBorders>
            <w:shd w:val="clear" w:color="auto" w:fill="auto"/>
            <w:vAlign w:val="center"/>
          </w:tcPr>
          <w:p w14:paraId="0F8183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49" w:type="pct"/>
            <w:tcBorders>
              <w:top w:val="nil"/>
              <w:left w:val="nil"/>
              <w:bottom w:val="nil"/>
              <w:right w:val="nil"/>
            </w:tcBorders>
            <w:shd w:val="clear" w:color="auto" w:fill="auto"/>
            <w:vAlign w:val="center"/>
          </w:tcPr>
          <w:p w14:paraId="4C46657F">
            <w:pPr>
              <w:pStyle w:val="3"/>
              <w:rPr>
                <w:rFonts w:hint="eastAsia"/>
                <w:lang w:val="en-US" w:eastAsia="zh-CN"/>
              </w:rPr>
            </w:pPr>
          </w:p>
        </w:tc>
        <w:tc>
          <w:tcPr>
            <w:tcW w:w="565" w:type="pct"/>
            <w:tcBorders>
              <w:top w:val="nil"/>
              <w:left w:val="nil"/>
              <w:bottom w:val="nil"/>
              <w:right w:val="nil"/>
            </w:tcBorders>
            <w:shd w:val="clear" w:color="auto" w:fill="auto"/>
            <w:vAlign w:val="center"/>
          </w:tcPr>
          <w:p w14:paraId="4D4E89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35" w:type="pct"/>
            <w:tcBorders>
              <w:top w:val="nil"/>
              <w:left w:val="nil"/>
              <w:bottom w:val="nil"/>
              <w:right w:val="nil"/>
            </w:tcBorders>
            <w:shd w:val="clear" w:color="auto" w:fill="auto"/>
            <w:vAlign w:val="center"/>
          </w:tcPr>
          <w:p w14:paraId="536CA54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495" w:type="pct"/>
            <w:tcBorders>
              <w:top w:val="nil"/>
              <w:left w:val="nil"/>
              <w:bottom w:val="nil"/>
              <w:right w:val="nil"/>
            </w:tcBorders>
            <w:shd w:val="clear" w:color="auto" w:fill="auto"/>
            <w:vAlign w:val="center"/>
          </w:tcPr>
          <w:p w14:paraId="58CA78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408" w:type="pct"/>
            <w:tcBorders>
              <w:top w:val="nil"/>
              <w:left w:val="nil"/>
              <w:bottom w:val="nil"/>
              <w:right w:val="nil"/>
            </w:tcBorders>
            <w:shd w:val="clear" w:color="auto" w:fill="auto"/>
            <w:vAlign w:val="center"/>
          </w:tcPr>
          <w:p w14:paraId="7D3220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30" w:type="pct"/>
            <w:tcBorders>
              <w:top w:val="nil"/>
              <w:left w:val="nil"/>
              <w:bottom w:val="nil"/>
              <w:right w:val="nil"/>
            </w:tcBorders>
            <w:shd w:val="clear" w:color="auto" w:fill="auto"/>
            <w:vAlign w:val="center"/>
          </w:tcPr>
          <w:p w14:paraId="69F4D80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31" w:type="pct"/>
            <w:tcBorders>
              <w:top w:val="nil"/>
              <w:left w:val="nil"/>
              <w:bottom w:val="nil"/>
              <w:right w:val="nil"/>
            </w:tcBorders>
            <w:shd w:val="clear" w:color="auto" w:fill="auto"/>
            <w:vAlign w:val="center"/>
          </w:tcPr>
          <w:p w14:paraId="481B46AB">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4A3700C2">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6A8ADB30">
            <w:pPr>
              <w:rPr>
                <w:rFonts w:hint="eastAsia" w:ascii="宋体" w:hAnsi="宋体" w:eastAsia="宋体" w:cs="宋体"/>
                <w:i w:val="0"/>
                <w:iCs w:val="0"/>
                <w:color w:val="000000"/>
                <w:sz w:val="18"/>
                <w:szCs w:val="18"/>
                <w:u w:val="none"/>
              </w:rPr>
            </w:pPr>
          </w:p>
        </w:tc>
      </w:tr>
      <w:tr w14:paraId="4AAB6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56270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F5A3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0B8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1332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51000023T000009743703-中央专项彩票公益金支持优抚医院能力提升项目资金</w:t>
            </w:r>
          </w:p>
        </w:tc>
      </w:tr>
      <w:tr w14:paraId="05B3F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3"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E69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ADE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779A457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64ED7">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1527A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C4A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333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AED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E71C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年度目标完成情况</w:t>
            </w:r>
          </w:p>
        </w:tc>
      </w:tr>
      <w:tr w14:paraId="2785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BD2A">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EA572">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476D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通过拨付购置常用医疗（康复）设备，以及与大型设备正常运行直接相关的环境改造资金，提升优抚医院服务能力，更好满足残疾退役军人等优抚对象医疗和供养需求。</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51A4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完成了111项医疗（康复）设备的采购。</w:t>
            </w:r>
          </w:p>
        </w:tc>
      </w:tr>
      <w:tr w14:paraId="48EF8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A8863">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1C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21D6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 年本项目采购的设备包括了先进的医用磁共振成像设备、心电监护仪（病人监护仪）、免疫发光工作站、全自动血液黏度动态分析仪、膀胱残余尿量测定仪、听觉统合训练系统、孤独症评估与训练系统、沉浸式互动训练系统、站立架（4人）、颈椎牵引器、中频治疗仪（中频电疗仪）、 内热针治疗仪、多能骨密度检测仪（超声骨密度仪）、彩色多普勒超声系统等，共计 111 项康复医疗设备，旨在提升康复医疗服务水平。</w:t>
            </w:r>
          </w:p>
        </w:tc>
      </w:tr>
      <w:tr w14:paraId="7DED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1C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74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46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E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6D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6A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41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AB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3F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5B5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A646F">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9D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F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5D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1,211.00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0D5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1,210.87</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C8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33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F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ED2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采购资金结余，作了预算追减调整。</w:t>
            </w:r>
          </w:p>
        </w:tc>
      </w:tr>
      <w:tr w14:paraId="7F28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C88A3">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18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3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D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1,211.00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F8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1,210.87</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0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08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C7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1381C">
            <w:pPr>
              <w:rPr>
                <w:rFonts w:hint="eastAsia" w:ascii="黑体" w:hAnsi="黑体" w:eastAsia="黑体" w:cs="黑体"/>
                <w:i w:val="0"/>
                <w:iCs w:val="0"/>
                <w:color w:val="000000"/>
                <w:sz w:val="18"/>
                <w:szCs w:val="18"/>
                <w:u w:val="none"/>
              </w:rPr>
            </w:pPr>
          </w:p>
        </w:tc>
      </w:tr>
      <w:tr w14:paraId="3EE02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7F0B9">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40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7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B9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AD6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52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27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B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9CDFE">
            <w:pPr>
              <w:rPr>
                <w:rFonts w:hint="eastAsia" w:ascii="黑体" w:hAnsi="黑体" w:eastAsia="黑体" w:cs="黑体"/>
                <w:i w:val="0"/>
                <w:iCs w:val="0"/>
                <w:color w:val="000000"/>
                <w:sz w:val="18"/>
                <w:szCs w:val="18"/>
                <w:u w:val="none"/>
              </w:rPr>
            </w:pPr>
          </w:p>
        </w:tc>
      </w:tr>
      <w:tr w14:paraId="1B630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C55D1">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65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9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B8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D7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2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37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04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8D7DF">
            <w:pPr>
              <w:rPr>
                <w:rFonts w:hint="eastAsia" w:ascii="黑体" w:hAnsi="黑体" w:eastAsia="黑体" w:cs="黑体"/>
                <w:i w:val="0"/>
                <w:iCs w:val="0"/>
                <w:color w:val="000000"/>
                <w:sz w:val="18"/>
                <w:szCs w:val="18"/>
                <w:u w:val="none"/>
              </w:rPr>
            </w:pPr>
          </w:p>
        </w:tc>
      </w:tr>
      <w:tr w14:paraId="33A7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59738">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8E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E0190">
            <w:pPr>
              <w:jc w:val="center"/>
              <w:rPr>
                <w:rFonts w:hint="eastAsia" w:ascii="微软雅黑" w:hAnsi="微软雅黑" w:eastAsia="微软雅黑" w:cs="微软雅黑"/>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430C">
            <w:pPr>
              <w:jc w:val="center"/>
              <w:rPr>
                <w:rFonts w:hint="eastAsia" w:ascii="微软雅黑" w:hAnsi="微软雅黑" w:eastAsia="微软雅黑" w:cs="微软雅黑"/>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42DCD">
            <w:pPr>
              <w:jc w:val="center"/>
              <w:rPr>
                <w:rFonts w:hint="eastAsia" w:ascii="微软雅黑" w:hAnsi="微软雅黑" w:eastAsia="微软雅黑" w:cs="微软雅黑"/>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85A3">
            <w:pPr>
              <w:jc w:val="center"/>
              <w:rPr>
                <w:rFonts w:hint="eastAsia" w:ascii="微软雅黑" w:hAnsi="微软雅黑" w:eastAsia="微软雅黑" w:cs="微软雅黑"/>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61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B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786D7">
            <w:pPr>
              <w:rPr>
                <w:rFonts w:hint="eastAsia" w:ascii="黑体" w:hAnsi="黑体" w:eastAsia="黑体" w:cs="黑体"/>
                <w:i w:val="0"/>
                <w:iCs w:val="0"/>
                <w:color w:val="000000"/>
                <w:sz w:val="18"/>
                <w:szCs w:val="18"/>
                <w:u w:val="none"/>
              </w:rPr>
            </w:pPr>
          </w:p>
        </w:tc>
      </w:tr>
      <w:tr w14:paraId="4727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E1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4C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A2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9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32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B3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30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8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84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A0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B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720A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1E5C6">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67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0E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CB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优抚对象门诊人次数较上年增长</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BB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1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9F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7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25.57</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6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54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6E69A">
            <w:pPr>
              <w:jc w:val="center"/>
              <w:rPr>
                <w:rFonts w:hint="eastAsia" w:ascii="微软雅黑" w:hAnsi="微软雅黑" w:eastAsia="微软雅黑" w:cs="微软雅黑"/>
                <w:i w:val="0"/>
                <w:iCs w:val="0"/>
                <w:color w:val="000000"/>
                <w:sz w:val="18"/>
                <w:szCs w:val="18"/>
                <w:u w:val="none"/>
              </w:rPr>
            </w:pPr>
          </w:p>
        </w:tc>
      </w:tr>
      <w:tr w14:paraId="7893D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1DD1A">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35DFD">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813D4">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5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医疗服务收入较上年增长</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88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A3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A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4FF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40.17</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2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17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383BA">
            <w:pPr>
              <w:jc w:val="center"/>
              <w:rPr>
                <w:rFonts w:hint="eastAsia" w:ascii="微软雅黑" w:hAnsi="微软雅黑" w:eastAsia="微软雅黑" w:cs="微软雅黑"/>
                <w:i w:val="0"/>
                <w:iCs w:val="0"/>
                <w:color w:val="000000"/>
                <w:sz w:val="18"/>
                <w:szCs w:val="18"/>
                <w:u w:val="none"/>
              </w:rPr>
            </w:pPr>
          </w:p>
        </w:tc>
      </w:tr>
      <w:tr w14:paraId="24F3C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E7E97">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F997E">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8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C4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计划新增医疗设备实际配置率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7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0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2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2E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7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7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52C06">
            <w:pPr>
              <w:jc w:val="center"/>
              <w:rPr>
                <w:rFonts w:hint="eastAsia" w:ascii="微软雅黑" w:hAnsi="微软雅黑" w:eastAsia="微软雅黑" w:cs="微软雅黑"/>
                <w:i w:val="0"/>
                <w:iCs w:val="0"/>
                <w:color w:val="000000"/>
                <w:sz w:val="18"/>
                <w:szCs w:val="18"/>
                <w:u w:val="none"/>
              </w:rPr>
            </w:pPr>
          </w:p>
        </w:tc>
      </w:tr>
      <w:tr w14:paraId="56B34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0938E">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2897A">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1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99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完成时间</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F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05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17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7D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11月</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E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F1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0B31">
            <w:pPr>
              <w:jc w:val="center"/>
              <w:rPr>
                <w:rFonts w:hint="eastAsia" w:ascii="微软雅黑" w:hAnsi="微软雅黑" w:eastAsia="微软雅黑" w:cs="微软雅黑"/>
                <w:i w:val="0"/>
                <w:iCs w:val="0"/>
                <w:color w:val="000000"/>
                <w:sz w:val="18"/>
                <w:szCs w:val="18"/>
                <w:u w:val="none"/>
              </w:rPr>
            </w:pPr>
          </w:p>
        </w:tc>
      </w:tr>
      <w:tr w14:paraId="2943F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2B337">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43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4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0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优抚医院诊疗服务能力</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FC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8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明显提升</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4FFE3">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A1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明显提升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FE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01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37471">
            <w:pPr>
              <w:jc w:val="center"/>
              <w:rPr>
                <w:rFonts w:hint="eastAsia" w:ascii="微软雅黑" w:hAnsi="微软雅黑" w:eastAsia="微软雅黑" w:cs="微软雅黑"/>
                <w:i w:val="0"/>
                <w:iCs w:val="0"/>
                <w:color w:val="000000"/>
                <w:sz w:val="18"/>
                <w:szCs w:val="18"/>
                <w:u w:val="none"/>
              </w:rPr>
            </w:pPr>
          </w:p>
        </w:tc>
      </w:tr>
      <w:tr w14:paraId="24C93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385AE">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63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9F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0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优抚对象门诊和住院满意度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61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79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8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77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0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9F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FFB31">
            <w:pPr>
              <w:jc w:val="center"/>
              <w:rPr>
                <w:rFonts w:hint="eastAsia" w:ascii="微软雅黑" w:hAnsi="微软雅黑" w:eastAsia="微软雅黑" w:cs="微软雅黑"/>
                <w:i w:val="0"/>
                <w:iCs w:val="0"/>
                <w:color w:val="000000"/>
                <w:sz w:val="18"/>
                <w:szCs w:val="18"/>
                <w:u w:val="none"/>
              </w:rPr>
            </w:pPr>
          </w:p>
        </w:tc>
      </w:tr>
      <w:tr w14:paraId="30F7F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61B5C">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AFC96">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8E2B5">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7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集中供养优抚对象门诊和住院满意度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6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4C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7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1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25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3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1E3F0">
            <w:pPr>
              <w:jc w:val="center"/>
              <w:rPr>
                <w:rFonts w:hint="eastAsia" w:ascii="微软雅黑" w:hAnsi="微软雅黑" w:eastAsia="微软雅黑" w:cs="微软雅黑"/>
                <w:i w:val="0"/>
                <w:iCs w:val="0"/>
                <w:color w:val="000000"/>
                <w:sz w:val="18"/>
                <w:szCs w:val="18"/>
                <w:u w:val="none"/>
              </w:rPr>
            </w:pPr>
          </w:p>
        </w:tc>
      </w:tr>
      <w:tr w14:paraId="388DE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E398C">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52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2E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7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设备购置成本</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61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43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B9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1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1210.87</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D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BC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337B5">
            <w:pPr>
              <w:jc w:val="center"/>
              <w:rPr>
                <w:rFonts w:hint="eastAsia" w:ascii="微软雅黑" w:hAnsi="微软雅黑" w:eastAsia="微软雅黑" w:cs="微软雅黑"/>
                <w:i w:val="0"/>
                <w:iCs w:val="0"/>
                <w:color w:val="000000"/>
                <w:sz w:val="18"/>
                <w:szCs w:val="18"/>
                <w:u w:val="none"/>
              </w:rPr>
            </w:pPr>
          </w:p>
        </w:tc>
      </w:tr>
      <w:tr w14:paraId="77EE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CF4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A7B84">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7478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03955">
            <w:pPr>
              <w:rPr>
                <w:rFonts w:hint="eastAsia" w:ascii="宋体" w:hAnsi="宋体" w:eastAsia="宋体" w:cs="宋体"/>
                <w:i w:val="0"/>
                <w:iCs w:val="0"/>
                <w:color w:val="000000"/>
                <w:sz w:val="18"/>
                <w:szCs w:val="18"/>
                <w:u w:val="none"/>
              </w:rPr>
            </w:pPr>
          </w:p>
        </w:tc>
      </w:tr>
      <w:tr w14:paraId="69184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F4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E88A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总评价得分：99.99分。严格按照相关资金专项管理办法，专款专用，完成购置常用医疗（康复）设备，以及与大型设备正常运行直接相关的环境改造、紧紧围绕更好满足残疾退役军人等优抚对象医疗和供养需求。</w:t>
            </w:r>
          </w:p>
        </w:tc>
      </w:tr>
      <w:tr w14:paraId="29B12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D0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A85F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项目进展实施进度滞后。</w:t>
            </w:r>
          </w:p>
        </w:tc>
      </w:tr>
      <w:tr w14:paraId="23F2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2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BC45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进一步严格把控项目进度，落实每项实施进度，确保每个环节都按照预定的时间表推进。</w:t>
            </w:r>
          </w:p>
        </w:tc>
      </w:tr>
      <w:tr w14:paraId="6259F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B86DE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项目负责人：张延鹤</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514DB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财务负责人：韦佳</w:t>
            </w:r>
          </w:p>
        </w:tc>
      </w:tr>
      <w:tr w14:paraId="2BC52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tcBorders>
              <w:top w:val="single" w:color="000000" w:sz="4" w:space="0"/>
              <w:left w:val="nil"/>
              <w:bottom w:val="nil"/>
              <w:right w:val="nil"/>
            </w:tcBorders>
            <w:shd w:val="clear" w:color="auto" w:fill="auto"/>
            <w:vAlign w:val="center"/>
          </w:tcPr>
          <w:p w14:paraId="5C6D52F0">
            <w:pPr>
              <w:rPr>
                <w:rFonts w:hint="eastAsia" w:ascii="黑体" w:hAnsi="黑体" w:eastAsia="黑体" w:cs="黑体"/>
                <w:i w:val="0"/>
                <w:iCs w:val="0"/>
                <w:color w:val="000000"/>
                <w:sz w:val="18"/>
                <w:szCs w:val="18"/>
                <w:u w:val="none"/>
              </w:rPr>
            </w:pPr>
          </w:p>
          <w:p w14:paraId="656748F7">
            <w:pPr>
              <w:pStyle w:val="2"/>
              <w:rPr>
                <w:rFonts w:hint="eastAsia" w:ascii="黑体" w:hAnsi="黑体" w:eastAsia="黑体" w:cs="黑体"/>
                <w:i w:val="0"/>
                <w:iCs w:val="0"/>
                <w:color w:val="000000"/>
                <w:sz w:val="18"/>
                <w:szCs w:val="18"/>
                <w:u w:val="none"/>
              </w:rPr>
            </w:pPr>
          </w:p>
          <w:p w14:paraId="275438EB">
            <w:pPr>
              <w:pStyle w:val="3"/>
              <w:rPr>
                <w:rFonts w:hint="eastAsia" w:ascii="黑体" w:hAnsi="黑体" w:eastAsia="黑体" w:cs="黑体"/>
                <w:i w:val="0"/>
                <w:iCs w:val="0"/>
                <w:color w:val="000000"/>
                <w:sz w:val="18"/>
                <w:szCs w:val="18"/>
                <w:u w:val="none"/>
              </w:rPr>
            </w:pPr>
          </w:p>
          <w:p w14:paraId="1ACFDC27">
            <w:pPr>
              <w:pStyle w:val="3"/>
              <w:rPr>
                <w:rFonts w:hint="eastAsia" w:ascii="黑体" w:hAnsi="黑体" w:eastAsia="黑体" w:cs="黑体"/>
                <w:i w:val="0"/>
                <w:iCs w:val="0"/>
                <w:color w:val="000000"/>
                <w:sz w:val="18"/>
                <w:szCs w:val="18"/>
                <w:u w:val="none"/>
              </w:rPr>
            </w:pPr>
          </w:p>
          <w:p w14:paraId="3168F140">
            <w:pPr>
              <w:pStyle w:val="3"/>
              <w:ind w:left="0" w:leftChars="0" w:firstLine="0" w:firstLineChars="0"/>
              <w:rPr>
                <w:rFonts w:hint="eastAsia" w:ascii="黑体" w:hAnsi="黑体" w:eastAsia="黑体" w:cs="黑体"/>
                <w:i w:val="0"/>
                <w:iCs w:val="0"/>
                <w:color w:val="000000"/>
                <w:sz w:val="18"/>
                <w:szCs w:val="18"/>
                <w:u w:val="none"/>
              </w:rPr>
            </w:pPr>
          </w:p>
          <w:p w14:paraId="1624DFED">
            <w:pPr>
              <w:pStyle w:val="3"/>
              <w:ind w:left="0" w:leftChars="0" w:firstLine="0" w:firstLineChars="0"/>
              <w:rPr>
                <w:rFonts w:hint="eastAsia" w:ascii="黑体" w:hAnsi="黑体" w:eastAsia="黑体" w:cs="黑体"/>
                <w:i w:val="0"/>
                <w:iCs w:val="0"/>
                <w:color w:val="000000"/>
                <w:sz w:val="18"/>
                <w:szCs w:val="18"/>
                <w:u w:val="none"/>
              </w:rPr>
            </w:pPr>
          </w:p>
          <w:p w14:paraId="7C08EBE8">
            <w:pPr>
              <w:pStyle w:val="3"/>
              <w:ind w:left="0" w:leftChars="0" w:firstLine="0" w:firstLineChars="0"/>
              <w:rPr>
                <w:rFonts w:hint="eastAsia" w:ascii="黑体" w:hAnsi="黑体" w:eastAsia="黑体" w:cs="黑体"/>
                <w:i w:val="0"/>
                <w:iCs w:val="0"/>
                <w:color w:val="000000"/>
                <w:sz w:val="18"/>
                <w:szCs w:val="18"/>
                <w:u w:val="none"/>
              </w:rPr>
            </w:pPr>
          </w:p>
          <w:p w14:paraId="2ACA9E41">
            <w:pPr>
              <w:pStyle w:val="3"/>
              <w:ind w:left="0" w:leftChars="0" w:firstLine="0" w:firstLineChars="0"/>
              <w:rPr>
                <w:rFonts w:hint="eastAsia" w:ascii="黑体" w:hAnsi="黑体" w:eastAsia="黑体" w:cs="黑体"/>
                <w:i w:val="0"/>
                <w:iCs w:val="0"/>
                <w:color w:val="000000"/>
                <w:sz w:val="18"/>
                <w:szCs w:val="18"/>
                <w:u w:val="none"/>
              </w:rPr>
            </w:pPr>
          </w:p>
          <w:p w14:paraId="4F85BB5A">
            <w:pPr>
              <w:pStyle w:val="3"/>
              <w:ind w:left="0" w:leftChars="0" w:firstLine="0" w:firstLineChars="0"/>
              <w:rPr>
                <w:rFonts w:hint="eastAsia" w:ascii="黑体" w:hAnsi="黑体" w:eastAsia="黑体" w:cs="黑体"/>
                <w:i w:val="0"/>
                <w:iCs w:val="0"/>
                <w:color w:val="000000"/>
                <w:sz w:val="18"/>
                <w:szCs w:val="18"/>
                <w:u w:val="none"/>
              </w:rPr>
            </w:pPr>
          </w:p>
          <w:p w14:paraId="5F279E85">
            <w:pPr>
              <w:pStyle w:val="3"/>
              <w:ind w:left="0" w:leftChars="0" w:firstLine="0" w:firstLineChars="0"/>
              <w:rPr>
                <w:rFonts w:hint="eastAsia" w:ascii="黑体" w:hAnsi="黑体" w:eastAsia="黑体" w:cs="黑体"/>
                <w:i w:val="0"/>
                <w:iCs w:val="0"/>
                <w:color w:val="000000"/>
                <w:sz w:val="18"/>
                <w:szCs w:val="18"/>
                <w:u w:val="none"/>
              </w:rPr>
            </w:pPr>
          </w:p>
          <w:p w14:paraId="4C182610">
            <w:pPr>
              <w:pStyle w:val="3"/>
              <w:ind w:left="0" w:leftChars="0" w:firstLine="0" w:firstLineChars="0"/>
              <w:rPr>
                <w:rFonts w:hint="eastAsia" w:ascii="黑体" w:hAnsi="黑体" w:eastAsia="黑体" w:cs="黑体"/>
                <w:i w:val="0"/>
                <w:iCs w:val="0"/>
                <w:color w:val="000000"/>
                <w:sz w:val="18"/>
                <w:szCs w:val="18"/>
                <w:u w:val="none"/>
              </w:rPr>
            </w:pPr>
          </w:p>
        </w:tc>
        <w:tc>
          <w:tcPr>
            <w:tcW w:w="563" w:type="pct"/>
            <w:tcBorders>
              <w:top w:val="single" w:color="000000" w:sz="4" w:space="0"/>
              <w:left w:val="nil"/>
              <w:bottom w:val="nil"/>
              <w:right w:val="nil"/>
            </w:tcBorders>
            <w:shd w:val="clear" w:color="auto" w:fill="auto"/>
            <w:vAlign w:val="center"/>
          </w:tcPr>
          <w:p w14:paraId="69690616">
            <w:pPr>
              <w:rPr>
                <w:rFonts w:hint="eastAsia" w:ascii="黑体" w:hAnsi="黑体" w:eastAsia="黑体" w:cs="黑体"/>
                <w:i w:val="0"/>
                <w:iCs w:val="0"/>
                <w:color w:val="000000"/>
                <w:sz w:val="18"/>
                <w:szCs w:val="18"/>
                <w:u w:val="none"/>
              </w:rPr>
            </w:pPr>
          </w:p>
        </w:tc>
        <w:tc>
          <w:tcPr>
            <w:tcW w:w="549" w:type="pct"/>
            <w:tcBorders>
              <w:top w:val="single" w:color="000000" w:sz="4" w:space="0"/>
              <w:left w:val="nil"/>
              <w:bottom w:val="nil"/>
              <w:right w:val="nil"/>
            </w:tcBorders>
            <w:shd w:val="clear" w:color="auto" w:fill="auto"/>
            <w:vAlign w:val="center"/>
          </w:tcPr>
          <w:p w14:paraId="62344F16">
            <w:pPr>
              <w:rPr>
                <w:rFonts w:hint="eastAsia" w:ascii="黑体" w:hAnsi="黑体" w:eastAsia="黑体" w:cs="黑体"/>
                <w:i w:val="0"/>
                <w:iCs w:val="0"/>
                <w:color w:val="000000"/>
                <w:sz w:val="18"/>
                <w:szCs w:val="18"/>
                <w:u w:val="none"/>
              </w:rPr>
            </w:pPr>
          </w:p>
        </w:tc>
        <w:tc>
          <w:tcPr>
            <w:tcW w:w="565" w:type="pct"/>
            <w:tcBorders>
              <w:top w:val="single" w:color="000000" w:sz="4" w:space="0"/>
              <w:left w:val="nil"/>
              <w:bottom w:val="nil"/>
              <w:right w:val="nil"/>
            </w:tcBorders>
            <w:shd w:val="clear" w:color="auto" w:fill="auto"/>
            <w:vAlign w:val="center"/>
          </w:tcPr>
          <w:p w14:paraId="4A15A053">
            <w:pPr>
              <w:rPr>
                <w:rFonts w:hint="eastAsia" w:ascii="黑体" w:hAnsi="黑体" w:eastAsia="黑体" w:cs="黑体"/>
                <w:i w:val="0"/>
                <w:iCs w:val="0"/>
                <w:color w:val="000000"/>
                <w:sz w:val="18"/>
                <w:szCs w:val="18"/>
                <w:u w:val="none"/>
              </w:rPr>
            </w:pPr>
          </w:p>
          <w:p w14:paraId="0C0D3BC7">
            <w:pPr>
              <w:pStyle w:val="2"/>
              <w:rPr>
                <w:rFonts w:hint="eastAsia" w:ascii="黑体" w:hAnsi="黑体" w:eastAsia="黑体" w:cs="黑体"/>
                <w:i w:val="0"/>
                <w:iCs w:val="0"/>
                <w:color w:val="000000"/>
                <w:sz w:val="18"/>
                <w:szCs w:val="18"/>
                <w:u w:val="none"/>
              </w:rPr>
            </w:pPr>
          </w:p>
          <w:p w14:paraId="25A9C198">
            <w:pPr>
              <w:pStyle w:val="3"/>
              <w:rPr>
                <w:rFonts w:hint="eastAsia" w:ascii="黑体" w:hAnsi="黑体" w:eastAsia="黑体" w:cs="黑体"/>
                <w:i w:val="0"/>
                <w:iCs w:val="0"/>
                <w:color w:val="000000"/>
                <w:sz w:val="18"/>
                <w:szCs w:val="18"/>
                <w:u w:val="none"/>
              </w:rPr>
            </w:pPr>
          </w:p>
          <w:p w14:paraId="1EB9520F">
            <w:pPr>
              <w:pStyle w:val="3"/>
              <w:rPr>
                <w:rFonts w:hint="eastAsia" w:ascii="黑体" w:hAnsi="黑体" w:eastAsia="黑体" w:cs="黑体"/>
                <w:i w:val="0"/>
                <w:iCs w:val="0"/>
                <w:color w:val="000000"/>
                <w:sz w:val="18"/>
                <w:szCs w:val="18"/>
                <w:u w:val="none"/>
              </w:rPr>
            </w:pPr>
          </w:p>
          <w:p w14:paraId="7C984DCE">
            <w:pPr>
              <w:pStyle w:val="3"/>
              <w:rPr>
                <w:rFonts w:hint="eastAsia" w:ascii="黑体" w:hAnsi="黑体" w:eastAsia="黑体" w:cs="黑体"/>
                <w:i w:val="0"/>
                <w:iCs w:val="0"/>
                <w:color w:val="000000"/>
                <w:sz w:val="18"/>
                <w:szCs w:val="18"/>
                <w:u w:val="none"/>
              </w:rPr>
            </w:pPr>
          </w:p>
          <w:p w14:paraId="01E8BE74">
            <w:pPr>
              <w:pStyle w:val="3"/>
              <w:rPr>
                <w:rFonts w:hint="eastAsia" w:ascii="黑体" w:hAnsi="黑体" w:eastAsia="黑体" w:cs="黑体"/>
                <w:i w:val="0"/>
                <w:iCs w:val="0"/>
                <w:color w:val="000000"/>
                <w:sz w:val="18"/>
                <w:szCs w:val="18"/>
                <w:u w:val="none"/>
              </w:rPr>
            </w:pPr>
          </w:p>
          <w:p w14:paraId="49BEB1F0">
            <w:pPr>
              <w:pStyle w:val="3"/>
              <w:rPr>
                <w:rFonts w:hint="eastAsia" w:ascii="黑体" w:hAnsi="黑体" w:eastAsia="黑体" w:cs="黑体"/>
                <w:i w:val="0"/>
                <w:iCs w:val="0"/>
                <w:color w:val="000000"/>
                <w:sz w:val="18"/>
                <w:szCs w:val="18"/>
                <w:u w:val="none"/>
              </w:rPr>
            </w:pPr>
          </w:p>
          <w:p w14:paraId="7F1A1E8A">
            <w:pPr>
              <w:pStyle w:val="3"/>
              <w:rPr>
                <w:rFonts w:hint="eastAsia" w:ascii="黑体" w:hAnsi="黑体" w:eastAsia="黑体" w:cs="黑体"/>
                <w:i w:val="0"/>
                <w:iCs w:val="0"/>
                <w:color w:val="000000"/>
                <w:sz w:val="18"/>
                <w:szCs w:val="18"/>
                <w:u w:val="none"/>
              </w:rPr>
            </w:pPr>
          </w:p>
          <w:p w14:paraId="0616E8C7">
            <w:pPr>
              <w:pStyle w:val="3"/>
              <w:ind w:left="0" w:leftChars="0" w:firstLine="0" w:firstLineChars="0"/>
              <w:rPr>
                <w:rFonts w:hint="eastAsia" w:ascii="黑体" w:hAnsi="黑体" w:eastAsia="黑体" w:cs="黑体"/>
                <w:i w:val="0"/>
                <w:iCs w:val="0"/>
                <w:color w:val="000000"/>
                <w:sz w:val="18"/>
                <w:szCs w:val="18"/>
                <w:u w:val="none"/>
              </w:rPr>
            </w:pPr>
          </w:p>
        </w:tc>
        <w:tc>
          <w:tcPr>
            <w:tcW w:w="235" w:type="pct"/>
            <w:tcBorders>
              <w:top w:val="single" w:color="000000" w:sz="4" w:space="0"/>
              <w:left w:val="nil"/>
              <w:bottom w:val="nil"/>
              <w:right w:val="nil"/>
            </w:tcBorders>
            <w:shd w:val="clear" w:color="auto" w:fill="auto"/>
            <w:vAlign w:val="center"/>
          </w:tcPr>
          <w:p w14:paraId="63D1EEDB">
            <w:pPr>
              <w:rPr>
                <w:rFonts w:hint="eastAsia" w:ascii="黑体" w:hAnsi="黑体" w:eastAsia="黑体" w:cs="黑体"/>
                <w:i w:val="0"/>
                <w:iCs w:val="0"/>
                <w:color w:val="000000"/>
                <w:sz w:val="18"/>
                <w:szCs w:val="18"/>
                <w:u w:val="none"/>
              </w:rPr>
            </w:pPr>
          </w:p>
        </w:tc>
        <w:tc>
          <w:tcPr>
            <w:tcW w:w="495" w:type="pct"/>
            <w:tcBorders>
              <w:top w:val="single" w:color="000000" w:sz="4" w:space="0"/>
              <w:left w:val="nil"/>
              <w:bottom w:val="nil"/>
              <w:right w:val="nil"/>
            </w:tcBorders>
            <w:shd w:val="clear" w:color="auto" w:fill="auto"/>
            <w:vAlign w:val="center"/>
          </w:tcPr>
          <w:p w14:paraId="0E255507">
            <w:pPr>
              <w:rPr>
                <w:rFonts w:hint="eastAsia" w:ascii="黑体" w:hAnsi="黑体" w:eastAsia="黑体" w:cs="黑体"/>
                <w:i w:val="0"/>
                <w:iCs w:val="0"/>
                <w:color w:val="000000"/>
                <w:sz w:val="18"/>
                <w:szCs w:val="18"/>
                <w:u w:val="none"/>
              </w:rPr>
            </w:pPr>
          </w:p>
        </w:tc>
        <w:tc>
          <w:tcPr>
            <w:tcW w:w="408" w:type="pct"/>
            <w:tcBorders>
              <w:top w:val="single" w:color="000000" w:sz="4" w:space="0"/>
              <w:left w:val="nil"/>
              <w:bottom w:val="nil"/>
              <w:right w:val="nil"/>
            </w:tcBorders>
            <w:shd w:val="clear" w:color="auto" w:fill="auto"/>
            <w:vAlign w:val="center"/>
          </w:tcPr>
          <w:p w14:paraId="6045E33C">
            <w:pPr>
              <w:rPr>
                <w:rFonts w:hint="eastAsia" w:ascii="黑体" w:hAnsi="黑体" w:eastAsia="黑体" w:cs="黑体"/>
                <w:i w:val="0"/>
                <w:iCs w:val="0"/>
                <w:color w:val="000000"/>
                <w:sz w:val="18"/>
                <w:szCs w:val="18"/>
                <w:u w:val="none"/>
              </w:rPr>
            </w:pPr>
          </w:p>
        </w:tc>
        <w:tc>
          <w:tcPr>
            <w:tcW w:w="530" w:type="pct"/>
            <w:tcBorders>
              <w:top w:val="single" w:color="000000" w:sz="4" w:space="0"/>
              <w:left w:val="nil"/>
              <w:bottom w:val="nil"/>
              <w:right w:val="nil"/>
            </w:tcBorders>
            <w:shd w:val="clear" w:color="auto" w:fill="auto"/>
            <w:vAlign w:val="center"/>
          </w:tcPr>
          <w:p w14:paraId="7CC26FCC">
            <w:pPr>
              <w:rPr>
                <w:rFonts w:hint="eastAsia" w:ascii="黑体" w:hAnsi="黑体" w:eastAsia="黑体" w:cs="黑体"/>
                <w:i w:val="0"/>
                <w:iCs w:val="0"/>
                <w:color w:val="000000"/>
                <w:sz w:val="18"/>
                <w:szCs w:val="18"/>
                <w:u w:val="none"/>
              </w:rPr>
            </w:pPr>
          </w:p>
        </w:tc>
        <w:tc>
          <w:tcPr>
            <w:tcW w:w="231" w:type="pct"/>
            <w:tcBorders>
              <w:top w:val="single" w:color="000000" w:sz="4" w:space="0"/>
              <w:left w:val="nil"/>
              <w:bottom w:val="nil"/>
              <w:right w:val="nil"/>
            </w:tcBorders>
            <w:shd w:val="clear" w:color="auto" w:fill="auto"/>
            <w:vAlign w:val="center"/>
          </w:tcPr>
          <w:p w14:paraId="51F89963">
            <w:pPr>
              <w:rPr>
                <w:rFonts w:hint="eastAsia" w:ascii="黑体" w:hAnsi="黑体" w:eastAsia="黑体" w:cs="黑体"/>
                <w:i w:val="0"/>
                <w:iCs w:val="0"/>
                <w:color w:val="000000"/>
                <w:sz w:val="18"/>
                <w:szCs w:val="18"/>
                <w:u w:val="none"/>
              </w:rPr>
            </w:pPr>
          </w:p>
          <w:p w14:paraId="64B31467">
            <w:pPr>
              <w:pStyle w:val="2"/>
              <w:rPr>
                <w:rFonts w:hint="eastAsia"/>
              </w:rPr>
            </w:pPr>
          </w:p>
          <w:p w14:paraId="3AB0CE9C">
            <w:pPr>
              <w:pStyle w:val="3"/>
              <w:rPr>
                <w:rFonts w:hint="eastAsia"/>
              </w:rPr>
            </w:pPr>
          </w:p>
          <w:p w14:paraId="198887C0">
            <w:pPr>
              <w:pStyle w:val="3"/>
              <w:rPr>
                <w:rFonts w:hint="eastAsia"/>
              </w:rPr>
            </w:pPr>
          </w:p>
          <w:p w14:paraId="1CE020EF">
            <w:pPr>
              <w:pStyle w:val="3"/>
              <w:rPr>
                <w:rFonts w:hint="eastAsia"/>
              </w:rPr>
            </w:pPr>
          </w:p>
          <w:p w14:paraId="0C185544">
            <w:pPr>
              <w:pStyle w:val="3"/>
              <w:ind w:left="0" w:leftChars="0" w:firstLine="0" w:firstLineChars="0"/>
              <w:rPr>
                <w:rFonts w:hint="eastAsia"/>
              </w:rPr>
            </w:pPr>
          </w:p>
          <w:p w14:paraId="2DED1AD3">
            <w:pPr>
              <w:pStyle w:val="3"/>
              <w:rPr>
                <w:rFonts w:hint="eastAsia"/>
              </w:rPr>
            </w:pPr>
          </w:p>
          <w:p w14:paraId="5BEE0D16">
            <w:pPr>
              <w:pStyle w:val="3"/>
              <w:rPr>
                <w:rFonts w:hint="eastAsia"/>
              </w:rPr>
            </w:pPr>
          </w:p>
          <w:p w14:paraId="3160B703">
            <w:pPr>
              <w:pStyle w:val="3"/>
              <w:rPr>
                <w:rFonts w:hint="eastAsia"/>
              </w:rPr>
            </w:pPr>
          </w:p>
        </w:tc>
        <w:tc>
          <w:tcPr>
            <w:tcW w:w="390" w:type="pct"/>
            <w:tcBorders>
              <w:top w:val="single" w:color="000000" w:sz="4" w:space="0"/>
              <w:left w:val="nil"/>
              <w:bottom w:val="nil"/>
              <w:right w:val="nil"/>
            </w:tcBorders>
            <w:shd w:val="clear" w:color="auto" w:fill="auto"/>
            <w:vAlign w:val="center"/>
          </w:tcPr>
          <w:p w14:paraId="72FC1E23">
            <w:pPr>
              <w:rPr>
                <w:rFonts w:hint="eastAsia" w:ascii="黑体" w:hAnsi="黑体" w:eastAsia="黑体" w:cs="黑体"/>
                <w:i w:val="0"/>
                <w:iCs w:val="0"/>
                <w:color w:val="000000"/>
                <w:sz w:val="18"/>
                <w:szCs w:val="18"/>
                <w:u w:val="none"/>
              </w:rPr>
            </w:pPr>
          </w:p>
        </w:tc>
        <w:tc>
          <w:tcPr>
            <w:tcW w:w="692" w:type="pct"/>
            <w:tcBorders>
              <w:top w:val="single" w:color="000000" w:sz="4" w:space="0"/>
              <w:left w:val="nil"/>
              <w:bottom w:val="nil"/>
              <w:right w:val="nil"/>
            </w:tcBorders>
            <w:shd w:val="clear" w:color="auto" w:fill="auto"/>
            <w:vAlign w:val="center"/>
          </w:tcPr>
          <w:p w14:paraId="20499B13">
            <w:pPr>
              <w:rPr>
                <w:rFonts w:hint="eastAsia" w:ascii="黑体" w:hAnsi="黑体" w:eastAsia="黑体" w:cs="黑体"/>
                <w:i w:val="0"/>
                <w:iCs w:val="0"/>
                <w:color w:val="000000"/>
                <w:sz w:val="18"/>
                <w:szCs w:val="18"/>
                <w:u w:val="none"/>
              </w:rPr>
            </w:pPr>
          </w:p>
        </w:tc>
      </w:tr>
      <w:tr w14:paraId="5E038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09CA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9C78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7E1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3F318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51000024T000011972171-中医药发展专项补助资金</w:t>
            </w:r>
          </w:p>
        </w:tc>
      </w:tr>
      <w:tr w14:paraId="76838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700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19E7F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DB7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A0C1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65720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B7D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5B4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602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24195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14:paraId="68FA2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8B797">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8E80F">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2178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切实做好四川省名中医学术思想传承工作，探索建立中医药学术传承和推广应用的有效方法和创新模式，培育、培养一批高层次中医药人才和新一代名中医，促进中医药事业发展。建立传承室工作管理制度，传承工作室功能区域建设，常见病的总结研究，建立工作室公众号，每周带教学生。</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77DA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完成传承团队建设。制订传承培养计划，组建名老中医传承团队，团队梯队结构合理，专业配置符合要求。继承人在名老中医的指导下，系统学习中医经典理论著作每月围绕名老中医学术经验开展学习交流。讨论或中医医案评价等人才培养相关活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2.积极报名参加省市级以上中医药人才培训项目。</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3.举办省级以上中医药继续教育项目2次。组织开展以名老中医经验或技术专长为主题的中医药继续教育项目，传承推广名老中医的学术经验，提高中医药学术水和临床服务能力。</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4、名老中医药专家临床经验示教诊室、资料室，并根据工作实际需求，配备相应的影像仪器设备，为开展名老中医药专家学术经验传承工作创造更好的条件。</w:t>
            </w:r>
          </w:p>
        </w:tc>
      </w:tr>
      <w:tr w14:paraId="38006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19A07">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4BB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8316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完成团队建设：印发《第六批四川省名中医钟大勇传承工作室继承人名单》，制定《四川省第三退役军人医院省名中医传承工作室建设管理办法(试行)》及《四川省第三退役军人医院四川省名中医传承工作室建设实施方案》2、组织参加成都针灸学会疼痛专委会年会及四川省中医药信息学会康复专委会年会。3、举办国医大师陈绍宏学术思想培训班，举办省级继教膈下逐瘀汤结合川芎茶调散治疗带状疱疹后遗症培训班，举办国家级继教项目-罗才贵主任医师峨眉伤科疗法脊柱疾病诊疗技术培训班。4、完善传承示教镇室、资料室、配备影像仪器。5、建立公众号，发表各类文章40篇左右6、完成3个常见疾病的总结，如益气活血散治疗血管斑块、龟鹿二仙散治疗骨质疏松症，参苓白术散治疗萎缩性胃炎</w:t>
            </w:r>
          </w:p>
        </w:tc>
      </w:tr>
      <w:tr w14:paraId="50EE7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AB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B0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D3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10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A1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7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2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80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2E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24F1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07E57">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BA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0A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C3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6D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64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99.64%</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F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5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35CF1">
            <w:pPr>
              <w:rPr>
                <w:rFonts w:hint="eastAsia" w:ascii="黑体" w:hAnsi="黑体" w:eastAsia="黑体" w:cs="黑体"/>
                <w:i w:val="0"/>
                <w:iCs w:val="0"/>
                <w:color w:val="000000"/>
                <w:sz w:val="18"/>
                <w:szCs w:val="18"/>
                <w:u w:val="none"/>
              </w:rPr>
            </w:pPr>
          </w:p>
        </w:tc>
      </w:tr>
      <w:tr w14:paraId="2C4E4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39F97">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2C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F8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4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68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20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99.64%</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0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7C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DB75E">
            <w:pPr>
              <w:rPr>
                <w:rFonts w:hint="eastAsia" w:ascii="黑体" w:hAnsi="黑体" w:eastAsia="黑体" w:cs="黑体"/>
                <w:i w:val="0"/>
                <w:iCs w:val="0"/>
                <w:color w:val="000000"/>
                <w:sz w:val="18"/>
                <w:szCs w:val="18"/>
                <w:u w:val="none"/>
              </w:rPr>
            </w:pPr>
          </w:p>
        </w:tc>
      </w:tr>
      <w:tr w14:paraId="272BB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23191">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22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B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8D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57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A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0A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3F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45C38">
            <w:pPr>
              <w:rPr>
                <w:rFonts w:hint="eastAsia" w:ascii="黑体" w:hAnsi="黑体" w:eastAsia="黑体" w:cs="黑体"/>
                <w:i w:val="0"/>
                <w:iCs w:val="0"/>
                <w:color w:val="000000"/>
                <w:sz w:val="18"/>
                <w:szCs w:val="18"/>
                <w:u w:val="none"/>
              </w:rPr>
            </w:pPr>
          </w:p>
        </w:tc>
      </w:tr>
      <w:tr w14:paraId="4B4A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3BDE">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79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25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1B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0D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B1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93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52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BD10">
            <w:pPr>
              <w:rPr>
                <w:rFonts w:hint="eastAsia" w:ascii="黑体" w:hAnsi="黑体" w:eastAsia="黑体" w:cs="黑体"/>
                <w:i w:val="0"/>
                <w:iCs w:val="0"/>
                <w:color w:val="000000"/>
                <w:sz w:val="18"/>
                <w:szCs w:val="18"/>
                <w:u w:val="none"/>
              </w:rPr>
            </w:pPr>
          </w:p>
        </w:tc>
      </w:tr>
      <w:tr w14:paraId="69217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10FFD">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6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AFD07">
            <w:pPr>
              <w:jc w:val="center"/>
              <w:rPr>
                <w:rFonts w:hint="eastAsia" w:ascii="微软雅黑" w:hAnsi="微软雅黑" w:eastAsia="微软雅黑" w:cs="微软雅黑"/>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346A1">
            <w:pPr>
              <w:jc w:val="center"/>
              <w:rPr>
                <w:rFonts w:hint="eastAsia" w:ascii="微软雅黑" w:hAnsi="微软雅黑" w:eastAsia="微软雅黑" w:cs="微软雅黑"/>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45646">
            <w:pPr>
              <w:jc w:val="center"/>
              <w:rPr>
                <w:rFonts w:hint="eastAsia" w:ascii="微软雅黑" w:hAnsi="微软雅黑" w:eastAsia="微软雅黑" w:cs="微软雅黑"/>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435C">
            <w:pPr>
              <w:jc w:val="center"/>
              <w:rPr>
                <w:rFonts w:hint="eastAsia" w:ascii="微软雅黑" w:hAnsi="微软雅黑" w:eastAsia="微软雅黑" w:cs="微软雅黑"/>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6E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08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5FF93">
            <w:pPr>
              <w:rPr>
                <w:rFonts w:hint="eastAsia" w:ascii="黑体" w:hAnsi="黑体" w:eastAsia="黑体" w:cs="黑体"/>
                <w:i w:val="0"/>
                <w:iCs w:val="0"/>
                <w:color w:val="000000"/>
                <w:sz w:val="18"/>
                <w:szCs w:val="18"/>
                <w:u w:val="none"/>
              </w:rPr>
            </w:pPr>
          </w:p>
        </w:tc>
      </w:tr>
      <w:tr w14:paraId="02B00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74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EA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A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C4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2B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B4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5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93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B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DE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DA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F6B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C07BA">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960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C6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A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建立工作室公众号</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A3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08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0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B812C">
            <w:pPr>
              <w:keepNext w:val="0"/>
              <w:keepLines w:val="0"/>
              <w:widowControl/>
              <w:suppressLineNumbers w:val="0"/>
              <w:jc w:val="center"/>
              <w:textAlignment w:val="center"/>
              <w:rPr>
                <w:rFonts w:hint="eastAsia" w:ascii="宋体" w:hAnsi="宋体" w:eastAsia="宋体" w:cs="宋体"/>
                <w:i/>
                <w:iCs/>
                <w:color w:val="000000"/>
                <w:sz w:val="16"/>
                <w:szCs w:val="16"/>
                <w:u w:val="none"/>
              </w:rPr>
            </w:pPr>
            <w:r>
              <w:rPr>
                <w:rFonts w:hint="eastAsia" w:ascii="宋体" w:hAnsi="宋体" w:eastAsia="宋体" w:cs="宋体"/>
                <w:i/>
                <w:iCs/>
                <w:color w:val="000000"/>
                <w:kern w:val="0"/>
                <w:sz w:val="16"/>
                <w:szCs w:val="16"/>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23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515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7F79F">
            <w:pPr>
              <w:jc w:val="center"/>
              <w:rPr>
                <w:rFonts w:hint="eastAsia" w:ascii="微软雅黑" w:hAnsi="微软雅黑" w:eastAsia="微软雅黑" w:cs="微软雅黑"/>
                <w:i w:val="0"/>
                <w:iCs w:val="0"/>
                <w:color w:val="000000"/>
                <w:sz w:val="18"/>
                <w:szCs w:val="18"/>
                <w:u w:val="none"/>
              </w:rPr>
            </w:pPr>
          </w:p>
        </w:tc>
      </w:tr>
      <w:tr w14:paraId="0E31A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B6433">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6361A">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93832">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B2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常见病的总结研究</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1E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33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8D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374CF">
            <w:pPr>
              <w:keepNext w:val="0"/>
              <w:keepLines w:val="0"/>
              <w:widowControl/>
              <w:suppressLineNumbers w:val="0"/>
              <w:jc w:val="center"/>
              <w:textAlignment w:val="center"/>
              <w:rPr>
                <w:rFonts w:hint="eastAsia" w:ascii="宋体" w:hAnsi="宋体" w:eastAsia="宋体" w:cs="宋体"/>
                <w:i/>
                <w:iCs/>
                <w:color w:val="000000"/>
                <w:sz w:val="16"/>
                <w:szCs w:val="16"/>
                <w:u w:val="none"/>
              </w:rPr>
            </w:pPr>
            <w:r>
              <w:rPr>
                <w:rFonts w:hint="eastAsia" w:ascii="宋体" w:hAnsi="宋体" w:eastAsia="宋体" w:cs="宋体"/>
                <w:i/>
                <w:iCs/>
                <w:color w:val="000000"/>
                <w:kern w:val="0"/>
                <w:sz w:val="16"/>
                <w:szCs w:val="16"/>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4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5F3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C7AF">
            <w:pPr>
              <w:jc w:val="center"/>
              <w:rPr>
                <w:rFonts w:hint="eastAsia" w:ascii="微软雅黑" w:hAnsi="微软雅黑" w:eastAsia="微软雅黑" w:cs="微软雅黑"/>
                <w:i w:val="0"/>
                <w:iCs w:val="0"/>
                <w:color w:val="000000"/>
                <w:sz w:val="18"/>
                <w:szCs w:val="18"/>
                <w:u w:val="none"/>
              </w:rPr>
            </w:pPr>
          </w:p>
        </w:tc>
      </w:tr>
      <w:tr w14:paraId="2FE1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3E1C0">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AB9FE">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99663">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8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带教学生</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B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6D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F0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A907B">
            <w:pPr>
              <w:keepNext w:val="0"/>
              <w:keepLines w:val="0"/>
              <w:widowControl/>
              <w:suppressLineNumbers w:val="0"/>
              <w:jc w:val="center"/>
              <w:textAlignment w:val="center"/>
              <w:rPr>
                <w:rFonts w:hint="eastAsia" w:ascii="宋体" w:hAnsi="宋体" w:eastAsia="宋体" w:cs="宋体"/>
                <w:i/>
                <w:iCs/>
                <w:color w:val="000000"/>
                <w:sz w:val="16"/>
                <w:szCs w:val="16"/>
                <w:u w:val="none"/>
              </w:rPr>
            </w:pPr>
            <w:r>
              <w:rPr>
                <w:rFonts w:hint="eastAsia" w:ascii="宋体" w:hAnsi="宋体" w:eastAsia="宋体" w:cs="宋体"/>
                <w:i/>
                <w:iCs/>
                <w:color w:val="000000"/>
                <w:kern w:val="0"/>
                <w:sz w:val="16"/>
                <w:szCs w:val="16"/>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40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257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5A85">
            <w:pPr>
              <w:jc w:val="center"/>
              <w:rPr>
                <w:rFonts w:hint="eastAsia" w:ascii="微软雅黑" w:hAnsi="微软雅黑" w:eastAsia="微软雅黑" w:cs="微软雅黑"/>
                <w:i w:val="0"/>
                <w:iCs w:val="0"/>
                <w:color w:val="000000"/>
                <w:sz w:val="18"/>
                <w:szCs w:val="18"/>
                <w:u w:val="none"/>
              </w:rPr>
            </w:pPr>
          </w:p>
        </w:tc>
      </w:tr>
      <w:tr w14:paraId="7910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C1B3F">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FC837">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D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D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保障中医药学术传承</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9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D2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E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0AB31">
            <w:pPr>
              <w:keepNext w:val="0"/>
              <w:keepLines w:val="0"/>
              <w:widowControl/>
              <w:suppressLineNumbers w:val="0"/>
              <w:jc w:val="center"/>
              <w:textAlignment w:val="center"/>
              <w:rPr>
                <w:rFonts w:hint="eastAsia" w:ascii="宋体" w:hAnsi="宋体" w:eastAsia="宋体" w:cs="宋体"/>
                <w:i/>
                <w:iCs/>
                <w:color w:val="000000"/>
                <w:sz w:val="16"/>
                <w:szCs w:val="16"/>
                <w:u w:val="none"/>
              </w:rPr>
            </w:pPr>
            <w:r>
              <w:rPr>
                <w:rFonts w:hint="eastAsia" w:ascii="宋体" w:hAnsi="宋体" w:eastAsia="宋体" w:cs="宋体"/>
                <w:i/>
                <w:iCs/>
                <w:color w:val="000000"/>
                <w:kern w:val="0"/>
                <w:sz w:val="16"/>
                <w:szCs w:val="16"/>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1B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132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5E33">
            <w:pPr>
              <w:jc w:val="center"/>
              <w:rPr>
                <w:rFonts w:hint="eastAsia" w:ascii="微软雅黑" w:hAnsi="微软雅黑" w:eastAsia="微软雅黑" w:cs="微软雅黑"/>
                <w:i w:val="0"/>
                <w:iCs w:val="0"/>
                <w:color w:val="000000"/>
                <w:sz w:val="18"/>
                <w:szCs w:val="18"/>
                <w:u w:val="none"/>
              </w:rPr>
            </w:pPr>
          </w:p>
        </w:tc>
      </w:tr>
      <w:tr w14:paraId="33C41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B4A06">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E4FFB">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4B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DF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完成时间</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0B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83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A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EB586">
            <w:pPr>
              <w:keepNext w:val="0"/>
              <w:keepLines w:val="0"/>
              <w:widowControl/>
              <w:suppressLineNumbers w:val="0"/>
              <w:jc w:val="center"/>
              <w:textAlignment w:val="center"/>
              <w:rPr>
                <w:rFonts w:hint="eastAsia" w:ascii="宋体" w:hAnsi="宋体" w:eastAsia="宋体" w:cs="宋体"/>
                <w:i/>
                <w:iCs/>
                <w:color w:val="000000"/>
                <w:sz w:val="16"/>
                <w:szCs w:val="16"/>
                <w:u w:val="none"/>
              </w:rPr>
            </w:pPr>
            <w:r>
              <w:rPr>
                <w:rFonts w:hint="eastAsia" w:ascii="宋体" w:hAnsi="宋体" w:eastAsia="宋体" w:cs="宋体"/>
                <w:i/>
                <w:iCs/>
                <w:color w:val="000000"/>
                <w:kern w:val="0"/>
                <w:sz w:val="16"/>
                <w:szCs w:val="16"/>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D1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8DC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D04CB">
            <w:pPr>
              <w:jc w:val="center"/>
              <w:rPr>
                <w:rFonts w:hint="eastAsia" w:ascii="微软雅黑" w:hAnsi="微软雅黑" w:eastAsia="微软雅黑" w:cs="微软雅黑"/>
                <w:i w:val="0"/>
                <w:iCs w:val="0"/>
                <w:color w:val="000000"/>
                <w:sz w:val="18"/>
                <w:szCs w:val="18"/>
                <w:u w:val="none"/>
              </w:rPr>
            </w:pPr>
          </w:p>
        </w:tc>
      </w:tr>
      <w:tr w14:paraId="4699A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5520B">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06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47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140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促进中医药事业快速发展</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7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D0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有效促进</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8C8B1">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3E741">
            <w:pPr>
              <w:keepNext w:val="0"/>
              <w:keepLines w:val="0"/>
              <w:widowControl/>
              <w:suppressLineNumbers w:val="0"/>
              <w:jc w:val="center"/>
              <w:textAlignment w:val="center"/>
              <w:rPr>
                <w:rFonts w:hint="eastAsia" w:ascii="宋体" w:hAnsi="宋体" w:eastAsia="宋体" w:cs="宋体"/>
                <w:i/>
                <w:iCs/>
                <w:color w:val="000000"/>
                <w:sz w:val="16"/>
                <w:szCs w:val="16"/>
                <w:u w:val="none"/>
              </w:rPr>
            </w:pPr>
            <w:r>
              <w:rPr>
                <w:rFonts w:hint="eastAsia" w:ascii="宋体" w:hAnsi="宋体" w:eastAsia="宋体" w:cs="宋体"/>
                <w:i/>
                <w:iCs/>
                <w:color w:val="000000"/>
                <w:kern w:val="0"/>
                <w:sz w:val="16"/>
                <w:szCs w:val="16"/>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2D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2F9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A08A0">
            <w:pPr>
              <w:jc w:val="center"/>
              <w:rPr>
                <w:rFonts w:hint="eastAsia" w:ascii="微软雅黑" w:hAnsi="微软雅黑" w:eastAsia="微软雅黑" w:cs="微软雅黑"/>
                <w:i w:val="0"/>
                <w:iCs w:val="0"/>
                <w:color w:val="000000"/>
                <w:sz w:val="18"/>
                <w:szCs w:val="18"/>
                <w:u w:val="none"/>
              </w:rPr>
            </w:pPr>
          </w:p>
        </w:tc>
      </w:tr>
      <w:tr w14:paraId="67212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0D3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FC816">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243A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BACE4">
            <w:pPr>
              <w:rPr>
                <w:rFonts w:hint="eastAsia" w:ascii="宋体" w:hAnsi="宋体" w:eastAsia="宋体" w:cs="宋体"/>
                <w:i w:val="0"/>
                <w:iCs w:val="0"/>
                <w:color w:val="000000"/>
                <w:sz w:val="18"/>
                <w:szCs w:val="18"/>
                <w:u w:val="none"/>
              </w:rPr>
            </w:pPr>
          </w:p>
        </w:tc>
      </w:tr>
      <w:tr w14:paraId="0131B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70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C895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99.96分。四川省名中医工作室的社会效益指标主要体现在以下几个方面：一是**提升中医药服务水平**，通过名中医的诊疗服务，有效提高患者康复率，满足群众对高质量中医药服务的需求。二是**传承与发展中医药文化**，通过教学、培训等活动，普及中医药知识，增强民众对中医药文化的认知和认同。三是**促进中医药行业发展**，名中医工作室作为行业标杆，推动中医药技术创新与科研成果转化，引领行业进步。四是**增强社会福祉**，通过提供公益诊疗、健康咨询等服务，提高民众健康水平，减轻社会医疗负担，促进社会和谐稳定。</w:t>
            </w:r>
          </w:p>
        </w:tc>
      </w:tr>
      <w:tr w14:paraId="10EED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4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F735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宣传力度不够</w:t>
            </w:r>
          </w:p>
        </w:tc>
      </w:tr>
      <w:tr w14:paraId="695B4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6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73C3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加强科普宣传</w:t>
            </w:r>
          </w:p>
        </w:tc>
      </w:tr>
      <w:tr w14:paraId="1D4E3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B59C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项目负责人：钟大勇</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E5BC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财务负责人：韦佳</w:t>
            </w:r>
          </w:p>
        </w:tc>
      </w:tr>
      <w:tr w14:paraId="75323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7D36778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7C72F4A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3680AB5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731D50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63" w:type="pct"/>
            <w:tcBorders>
              <w:top w:val="nil"/>
              <w:left w:val="nil"/>
              <w:bottom w:val="nil"/>
              <w:right w:val="nil"/>
            </w:tcBorders>
            <w:shd w:val="clear" w:color="auto" w:fill="auto"/>
            <w:vAlign w:val="center"/>
          </w:tcPr>
          <w:p w14:paraId="2C3A77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49" w:type="pct"/>
            <w:tcBorders>
              <w:top w:val="nil"/>
              <w:left w:val="nil"/>
              <w:bottom w:val="nil"/>
              <w:right w:val="nil"/>
            </w:tcBorders>
            <w:shd w:val="clear" w:color="auto" w:fill="auto"/>
            <w:vAlign w:val="center"/>
          </w:tcPr>
          <w:p w14:paraId="46C300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65" w:type="pct"/>
            <w:tcBorders>
              <w:top w:val="nil"/>
              <w:left w:val="nil"/>
              <w:bottom w:val="nil"/>
              <w:right w:val="nil"/>
            </w:tcBorders>
            <w:shd w:val="clear" w:color="auto" w:fill="auto"/>
            <w:vAlign w:val="center"/>
          </w:tcPr>
          <w:p w14:paraId="5047638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35" w:type="pct"/>
            <w:tcBorders>
              <w:top w:val="nil"/>
              <w:left w:val="nil"/>
              <w:bottom w:val="nil"/>
              <w:right w:val="nil"/>
            </w:tcBorders>
            <w:shd w:val="clear" w:color="auto" w:fill="auto"/>
            <w:vAlign w:val="center"/>
          </w:tcPr>
          <w:p w14:paraId="2F0BB2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495" w:type="pct"/>
            <w:tcBorders>
              <w:top w:val="nil"/>
              <w:left w:val="nil"/>
              <w:bottom w:val="nil"/>
              <w:right w:val="nil"/>
            </w:tcBorders>
            <w:shd w:val="clear" w:color="auto" w:fill="auto"/>
            <w:vAlign w:val="center"/>
          </w:tcPr>
          <w:p w14:paraId="44F30BE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522CAD85">
            <w:pPr>
              <w:pStyle w:val="2"/>
              <w:rPr>
                <w:rFonts w:hint="eastAsia" w:ascii="宋体" w:hAnsi="宋体" w:eastAsia="宋体" w:cs="宋体"/>
                <w:i w:val="0"/>
                <w:iCs w:val="0"/>
                <w:color w:val="000000"/>
                <w:kern w:val="0"/>
                <w:sz w:val="18"/>
                <w:szCs w:val="18"/>
                <w:u w:val="none"/>
                <w:lang w:val="en-US" w:eastAsia="zh-CN" w:bidi="ar"/>
              </w:rPr>
            </w:pPr>
          </w:p>
          <w:p w14:paraId="2E8573BF">
            <w:pPr>
              <w:pStyle w:val="3"/>
              <w:rPr>
                <w:rFonts w:hint="eastAsia" w:ascii="宋体" w:hAnsi="宋体" w:eastAsia="宋体" w:cs="宋体"/>
                <w:i w:val="0"/>
                <w:iCs w:val="0"/>
                <w:color w:val="000000"/>
                <w:kern w:val="0"/>
                <w:sz w:val="18"/>
                <w:szCs w:val="18"/>
                <w:u w:val="none"/>
                <w:lang w:val="en-US" w:eastAsia="zh-CN" w:bidi="ar"/>
              </w:rPr>
            </w:pPr>
          </w:p>
          <w:p w14:paraId="203B5D3C">
            <w:pPr>
              <w:pStyle w:val="3"/>
              <w:ind w:left="0" w:leftChars="0" w:firstLine="0" w:firstLineChars="0"/>
              <w:rPr>
                <w:rFonts w:hint="eastAsia" w:ascii="宋体" w:hAnsi="宋体" w:eastAsia="宋体" w:cs="宋体"/>
                <w:i w:val="0"/>
                <w:iCs w:val="0"/>
                <w:color w:val="000000"/>
                <w:kern w:val="0"/>
                <w:sz w:val="18"/>
                <w:szCs w:val="18"/>
                <w:u w:val="none"/>
                <w:lang w:val="en-US" w:eastAsia="zh-CN" w:bidi="ar"/>
              </w:rPr>
            </w:pPr>
          </w:p>
        </w:tc>
        <w:tc>
          <w:tcPr>
            <w:tcW w:w="408" w:type="pct"/>
            <w:tcBorders>
              <w:top w:val="nil"/>
              <w:left w:val="nil"/>
              <w:bottom w:val="nil"/>
              <w:right w:val="nil"/>
            </w:tcBorders>
            <w:shd w:val="clear" w:color="auto" w:fill="auto"/>
            <w:vAlign w:val="center"/>
          </w:tcPr>
          <w:p w14:paraId="680C638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30" w:type="pct"/>
            <w:tcBorders>
              <w:top w:val="nil"/>
              <w:left w:val="nil"/>
              <w:bottom w:val="nil"/>
              <w:right w:val="nil"/>
            </w:tcBorders>
            <w:shd w:val="clear" w:color="auto" w:fill="auto"/>
            <w:vAlign w:val="center"/>
          </w:tcPr>
          <w:p w14:paraId="2AEB019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1343BD20">
            <w:pPr>
              <w:pStyle w:val="2"/>
              <w:rPr>
                <w:rFonts w:hint="eastAsia"/>
                <w:lang w:val="en-US" w:eastAsia="zh-CN"/>
              </w:rPr>
            </w:pPr>
          </w:p>
          <w:p w14:paraId="7C403B53">
            <w:pPr>
              <w:pStyle w:val="3"/>
              <w:ind w:left="0" w:leftChars="0" w:firstLine="0" w:firstLineChars="0"/>
              <w:rPr>
                <w:rFonts w:hint="eastAsia"/>
                <w:lang w:val="en-US" w:eastAsia="zh-CN"/>
              </w:rPr>
            </w:pPr>
          </w:p>
        </w:tc>
        <w:tc>
          <w:tcPr>
            <w:tcW w:w="231" w:type="pct"/>
            <w:tcBorders>
              <w:top w:val="nil"/>
              <w:left w:val="nil"/>
              <w:bottom w:val="nil"/>
              <w:right w:val="nil"/>
            </w:tcBorders>
            <w:shd w:val="clear" w:color="auto" w:fill="auto"/>
            <w:vAlign w:val="center"/>
          </w:tcPr>
          <w:p w14:paraId="3364B697">
            <w:pPr>
              <w:rPr>
                <w:rFonts w:hint="eastAsia" w:ascii="宋体" w:hAnsi="宋体" w:eastAsia="宋体" w:cs="宋体"/>
                <w:i w:val="0"/>
                <w:iCs w:val="0"/>
                <w:color w:val="000000"/>
                <w:sz w:val="18"/>
                <w:szCs w:val="18"/>
                <w:u w:val="none"/>
              </w:rPr>
            </w:pPr>
          </w:p>
        </w:tc>
        <w:tc>
          <w:tcPr>
            <w:tcW w:w="390" w:type="pct"/>
            <w:tcBorders>
              <w:top w:val="nil"/>
              <w:left w:val="nil"/>
              <w:bottom w:val="nil"/>
              <w:right w:val="nil"/>
            </w:tcBorders>
            <w:shd w:val="clear" w:color="auto" w:fill="auto"/>
            <w:vAlign w:val="center"/>
          </w:tcPr>
          <w:p w14:paraId="068449C0">
            <w:pPr>
              <w:rPr>
                <w:rFonts w:hint="eastAsia" w:ascii="宋体" w:hAnsi="宋体" w:eastAsia="宋体" w:cs="宋体"/>
                <w:i w:val="0"/>
                <w:iCs w:val="0"/>
                <w:color w:val="000000"/>
                <w:sz w:val="18"/>
                <w:szCs w:val="18"/>
                <w:u w:val="none"/>
              </w:rPr>
            </w:pPr>
          </w:p>
        </w:tc>
        <w:tc>
          <w:tcPr>
            <w:tcW w:w="692" w:type="pct"/>
            <w:tcBorders>
              <w:top w:val="nil"/>
              <w:left w:val="nil"/>
              <w:bottom w:val="nil"/>
              <w:right w:val="nil"/>
            </w:tcBorders>
            <w:shd w:val="clear" w:color="auto" w:fill="auto"/>
            <w:vAlign w:val="center"/>
          </w:tcPr>
          <w:p w14:paraId="0687B185">
            <w:pPr>
              <w:rPr>
                <w:rFonts w:hint="eastAsia" w:ascii="宋体" w:hAnsi="宋体" w:eastAsia="宋体" w:cs="宋体"/>
                <w:i w:val="0"/>
                <w:iCs w:val="0"/>
                <w:color w:val="000000"/>
                <w:sz w:val="18"/>
                <w:szCs w:val="18"/>
                <w:u w:val="none"/>
              </w:rPr>
            </w:pPr>
          </w:p>
          <w:p w14:paraId="64489643">
            <w:pPr>
              <w:pStyle w:val="3"/>
              <w:ind w:left="0" w:leftChars="0" w:firstLine="0" w:firstLineChars="0"/>
              <w:rPr>
                <w:rFonts w:hint="eastAsia" w:ascii="宋体" w:hAnsi="宋体" w:eastAsia="宋体" w:cs="宋体"/>
                <w:i w:val="0"/>
                <w:iCs w:val="0"/>
                <w:color w:val="000000"/>
                <w:sz w:val="18"/>
                <w:szCs w:val="18"/>
                <w:u w:val="none"/>
              </w:rPr>
            </w:pPr>
          </w:p>
          <w:p w14:paraId="0A0ECB55">
            <w:pPr>
              <w:pStyle w:val="3"/>
              <w:rPr>
                <w:rFonts w:hint="eastAsia" w:ascii="宋体" w:hAnsi="宋体" w:eastAsia="宋体" w:cs="宋体"/>
                <w:i w:val="0"/>
                <w:iCs w:val="0"/>
                <w:color w:val="000000"/>
                <w:sz w:val="18"/>
                <w:szCs w:val="18"/>
                <w:u w:val="none"/>
              </w:rPr>
            </w:pPr>
          </w:p>
          <w:p w14:paraId="12644036">
            <w:pPr>
              <w:pStyle w:val="3"/>
              <w:rPr>
                <w:rFonts w:hint="eastAsia" w:ascii="宋体" w:hAnsi="宋体" w:eastAsia="宋体" w:cs="宋体"/>
                <w:i w:val="0"/>
                <w:iCs w:val="0"/>
                <w:color w:val="000000"/>
                <w:sz w:val="18"/>
                <w:szCs w:val="18"/>
                <w:u w:val="none"/>
              </w:rPr>
            </w:pPr>
          </w:p>
        </w:tc>
      </w:tr>
      <w:tr w14:paraId="1DDFC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BAA2E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189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D3F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CC7A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51000023Y000008301292-单位运转项目（311904设备购置经费）</w:t>
            </w:r>
          </w:p>
        </w:tc>
      </w:tr>
      <w:tr w14:paraId="31D5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73C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E0176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05A5DD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6D45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61C82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E0B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80F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9764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41D6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年度目标完成情况</w:t>
            </w:r>
          </w:p>
        </w:tc>
      </w:tr>
      <w:tr w14:paraId="1B47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18EF">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46631">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F218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购置办公设备等用于保障医院运行。</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77A2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已按计划购置了必需的办公设备，包括高效能的电脑、打印机及医疗设备等，有效提升了医院运营效率与患者服务质量，确保了医院各项业务的平稳运行，年度目标达成情况良好。</w:t>
            </w:r>
          </w:p>
        </w:tc>
      </w:tr>
      <w:tr w14:paraId="706CC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D50B3">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43D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9BBE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按时完成采购办公设备、医疗设备、厨房设备等265台。</w:t>
            </w:r>
          </w:p>
        </w:tc>
      </w:tr>
      <w:tr w14:paraId="13A2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64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A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9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6C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718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2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8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9E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E021B">
            <w:pPr>
              <w:keepNext w:val="0"/>
              <w:keepLines w:val="0"/>
              <w:widowControl/>
              <w:suppressLineNumbers w:val="0"/>
              <w:ind w:firstLine="360" w:firstLineChars="20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原因</w:t>
            </w:r>
          </w:p>
        </w:tc>
      </w:tr>
      <w:tr w14:paraId="1426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F01EC">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A4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74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81.20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7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81.20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53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57.90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D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53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53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87C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原因是：原计划购置服务器3台，共计20万元，用于三医监管平台、重精管理系统和财务系统，但由于卫健部门原因，三医监管平台、重精管理系统未能实施，所以2024年只购置了用于财务系统的服务器1台3.5万元。</w:t>
            </w:r>
          </w:p>
        </w:tc>
      </w:tr>
      <w:tr w14:paraId="68439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1F070">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2E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6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21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9E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89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2C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F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D5B50">
            <w:pPr>
              <w:rPr>
                <w:rFonts w:hint="eastAsia" w:ascii="黑体" w:hAnsi="黑体" w:eastAsia="黑体" w:cs="黑体"/>
                <w:i w:val="0"/>
                <w:iCs w:val="0"/>
                <w:color w:val="000000"/>
                <w:sz w:val="18"/>
                <w:szCs w:val="18"/>
                <w:u w:val="none"/>
              </w:rPr>
            </w:pPr>
          </w:p>
        </w:tc>
      </w:tr>
      <w:tr w14:paraId="46CA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0C75B">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71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F1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88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4F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55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5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9207A">
            <w:pPr>
              <w:rPr>
                <w:rFonts w:hint="eastAsia" w:ascii="黑体" w:hAnsi="黑体" w:eastAsia="黑体" w:cs="黑体"/>
                <w:i w:val="0"/>
                <w:iCs w:val="0"/>
                <w:color w:val="000000"/>
                <w:sz w:val="18"/>
                <w:szCs w:val="18"/>
                <w:u w:val="none"/>
              </w:rPr>
            </w:pPr>
          </w:p>
        </w:tc>
      </w:tr>
      <w:tr w14:paraId="2734D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CFE1C">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7F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0A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41.20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7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41.20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6D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17.90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97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43.45%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C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4A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3C847">
            <w:pPr>
              <w:rPr>
                <w:rFonts w:hint="eastAsia" w:ascii="黑体" w:hAnsi="黑体" w:eastAsia="黑体" w:cs="黑体"/>
                <w:i w:val="0"/>
                <w:iCs w:val="0"/>
                <w:color w:val="000000"/>
                <w:sz w:val="18"/>
                <w:szCs w:val="18"/>
                <w:u w:val="none"/>
              </w:rPr>
            </w:pPr>
          </w:p>
        </w:tc>
      </w:tr>
      <w:tr w14:paraId="7E187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87030">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7E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E9EA">
            <w:pPr>
              <w:jc w:val="center"/>
              <w:rPr>
                <w:rFonts w:hint="eastAsia" w:ascii="微软雅黑" w:hAnsi="微软雅黑" w:eastAsia="微软雅黑" w:cs="微软雅黑"/>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E6CE3">
            <w:pPr>
              <w:jc w:val="center"/>
              <w:rPr>
                <w:rFonts w:hint="eastAsia" w:ascii="微软雅黑" w:hAnsi="微软雅黑" w:eastAsia="微软雅黑" w:cs="微软雅黑"/>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295EBE">
            <w:pPr>
              <w:jc w:val="center"/>
              <w:rPr>
                <w:rFonts w:hint="eastAsia" w:ascii="微软雅黑" w:hAnsi="微软雅黑" w:eastAsia="微软雅黑" w:cs="微软雅黑"/>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5EAA">
            <w:pPr>
              <w:jc w:val="center"/>
              <w:rPr>
                <w:rFonts w:hint="eastAsia" w:ascii="微软雅黑" w:hAnsi="微软雅黑" w:eastAsia="微软雅黑" w:cs="微软雅黑"/>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6F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20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A978C">
            <w:pPr>
              <w:rPr>
                <w:rFonts w:hint="eastAsia" w:ascii="黑体" w:hAnsi="黑体" w:eastAsia="黑体" w:cs="黑体"/>
                <w:i w:val="0"/>
                <w:iCs w:val="0"/>
                <w:color w:val="000000"/>
                <w:sz w:val="18"/>
                <w:szCs w:val="18"/>
                <w:u w:val="none"/>
              </w:rPr>
            </w:pPr>
          </w:p>
        </w:tc>
      </w:tr>
      <w:tr w14:paraId="30FE2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C2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C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02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6D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DA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E1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2E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48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6B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8B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74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7C9B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4F1A8">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B4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22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3E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购置设备数量</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2F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F0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8A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台（套）</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D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B0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88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1AA1">
            <w:pPr>
              <w:jc w:val="center"/>
              <w:rPr>
                <w:rFonts w:hint="eastAsia" w:ascii="微软雅黑" w:hAnsi="微软雅黑" w:eastAsia="微软雅黑" w:cs="微软雅黑"/>
                <w:i w:val="0"/>
                <w:iCs w:val="0"/>
                <w:color w:val="000000"/>
                <w:sz w:val="18"/>
                <w:szCs w:val="18"/>
                <w:u w:val="none"/>
              </w:rPr>
            </w:pPr>
          </w:p>
        </w:tc>
      </w:tr>
      <w:tr w14:paraId="78C86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1DFAB">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9D511">
            <w:pPr>
              <w:jc w:val="center"/>
              <w:rPr>
                <w:rFonts w:hint="eastAsia" w:ascii="宋体" w:hAnsi="宋体" w:eastAsia="宋体" w:cs="宋体"/>
                <w:i w:val="0"/>
                <w:iCs w:val="0"/>
                <w:color w:val="000000"/>
                <w:sz w:val="18"/>
                <w:szCs w:val="18"/>
                <w:u w:val="none"/>
              </w:rPr>
            </w:pP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09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92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安装工程验收合格率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2D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0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EE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A0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75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BD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26D97">
            <w:pPr>
              <w:jc w:val="center"/>
              <w:rPr>
                <w:rFonts w:hint="eastAsia" w:ascii="微软雅黑" w:hAnsi="微软雅黑" w:eastAsia="微软雅黑" w:cs="微软雅黑"/>
                <w:i w:val="0"/>
                <w:iCs w:val="0"/>
                <w:color w:val="000000"/>
                <w:sz w:val="18"/>
                <w:szCs w:val="18"/>
                <w:u w:val="none"/>
              </w:rPr>
            </w:pPr>
          </w:p>
        </w:tc>
      </w:tr>
      <w:tr w14:paraId="641E1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8BCE3">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32A44">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4779B">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D5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设备故障率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82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6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B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5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2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5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7BA5">
            <w:pPr>
              <w:jc w:val="center"/>
              <w:rPr>
                <w:rFonts w:hint="eastAsia" w:ascii="微软雅黑" w:hAnsi="微软雅黑" w:eastAsia="微软雅黑" w:cs="微软雅黑"/>
                <w:i w:val="0"/>
                <w:iCs w:val="0"/>
                <w:color w:val="000000"/>
                <w:sz w:val="18"/>
                <w:szCs w:val="18"/>
                <w:u w:val="none"/>
              </w:rPr>
            </w:pPr>
          </w:p>
        </w:tc>
      </w:tr>
      <w:tr w14:paraId="4094A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BB62C">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C8539">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043FD">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B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设备质量合格率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6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22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E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B3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C8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1E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A3B16">
            <w:pPr>
              <w:jc w:val="center"/>
              <w:rPr>
                <w:rFonts w:hint="eastAsia" w:ascii="微软雅黑" w:hAnsi="微软雅黑" w:eastAsia="微软雅黑" w:cs="微软雅黑"/>
                <w:i w:val="0"/>
                <w:iCs w:val="0"/>
                <w:color w:val="000000"/>
                <w:sz w:val="18"/>
                <w:szCs w:val="18"/>
                <w:u w:val="none"/>
              </w:rPr>
            </w:pPr>
          </w:p>
        </w:tc>
      </w:tr>
      <w:tr w14:paraId="7E96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CA5C5">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C961A">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1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33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设备采购完成时间</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EF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08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D8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0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05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D0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2079C">
            <w:pPr>
              <w:jc w:val="center"/>
              <w:rPr>
                <w:rFonts w:hint="eastAsia" w:ascii="微软雅黑" w:hAnsi="微软雅黑" w:eastAsia="微软雅黑" w:cs="微软雅黑"/>
                <w:i w:val="0"/>
                <w:iCs w:val="0"/>
                <w:color w:val="000000"/>
                <w:sz w:val="18"/>
                <w:szCs w:val="18"/>
                <w:u w:val="none"/>
              </w:rPr>
            </w:pPr>
          </w:p>
        </w:tc>
      </w:tr>
      <w:tr w14:paraId="32F4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2BF27">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BF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4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86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设备利用率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8E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D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EA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34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0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B9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8BC24">
            <w:pPr>
              <w:jc w:val="center"/>
              <w:rPr>
                <w:rFonts w:hint="eastAsia" w:ascii="微软雅黑" w:hAnsi="微软雅黑" w:eastAsia="微软雅黑" w:cs="微软雅黑"/>
                <w:i w:val="0"/>
                <w:iCs w:val="0"/>
                <w:color w:val="000000"/>
                <w:sz w:val="18"/>
                <w:szCs w:val="18"/>
                <w:u w:val="none"/>
              </w:rPr>
            </w:pPr>
          </w:p>
        </w:tc>
      </w:tr>
      <w:tr w14:paraId="35C7F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5FD77">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416F1">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A8D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1F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设备使用年限</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6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9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29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A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7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08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D2270">
            <w:pPr>
              <w:jc w:val="center"/>
              <w:rPr>
                <w:rFonts w:hint="eastAsia" w:ascii="微软雅黑" w:hAnsi="微软雅黑" w:eastAsia="微软雅黑" w:cs="微软雅黑"/>
                <w:i w:val="0"/>
                <w:iCs w:val="0"/>
                <w:color w:val="000000"/>
                <w:sz w:val="18"/>
                <w:szCs w:val="18"/>
                <w:u w:val="none"/>
              </w:rPr>
            </w:pPr>
          </w:p>
        </w:tc>
      </w:tr>
      <w:tr w14:paraId="4E15A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B3D21">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83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4F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6C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使用人员满意度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1D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18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22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C5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3B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FD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08ED">
            <w:pPr>
              <w:jc w:val="center"/>
              <w:rPr>
                <w:rFonts w:hint="eastAsia" w:ascii="微软雅黑" w:hAnsi="微软雅黑" w:eastAsia="微软雅黑" w:cs="微软雅黑"/>
                <w:i w:val="0"/>
                <w:iCs w:val="0"/>
                <w:color w:val="000000"/>
                <w:sz w:val="18"/>
                <w:szCs w:val="18"/>
                <w:u w:val="none"/>
              </w:rPr>
            </w:pPr>
          </w:p>
        </w:tc>
      </w:tr>
      <w:tr w14:paraId="3F25D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BEB55">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7F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A0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79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设备购置成本</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C5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73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5C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AF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8F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2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6C62D">
            <w:pPr>
              <w:jc w:val="center"/>
              <w:rPr>
                <w:rFonts w:hint="eastAsia" w:ascii="微软雅黑" w:hAnsi="微软雅黑" w:eastAsia="微软雅黑" w:cs="微软雅黑"/>
                <w:i w:val="0"/>
                <w:iCs w:val="0"/>
                <w:color w:val="000000"/>
                <w:sz w:val="18"/>
                <w:szCs w:val="18"/>
                <w:u w:val="none"/>
              </w:rPr>
            </w:pPr>
          </w:p>
        </w:tc>
      </w:tr>
      <w:tr w14:paraId="5AC0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B9E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6A7B">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BD98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0449">
            <w:pPr>
              <w:rPr>
                <w:rFonts w:hint="eastAsia" w:ascii="宋体" w:hAnsi="宋体" w:eastAsia="宋体" w:cs="宋体"/>
                <w:i w:val="0"/>
                <w:iCs w:val="0"/>
                <w:color w:val="000000"/>
                <w:sz w:val="18"/>
                <w:szCs w:val="18"/>
                <w:u w:val="none"/>
              </w:rPr>
            </w:pPr>
          </w:p>
        </w:tc>
      </w:tr>
      <w:tr w14:paraId="7D9BA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40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AE0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总评价得分：97.13分。该项目按照年初目标，完成年初计划，，有效提升了医院运营效率与患者服务质量，确保了医院各项业务的平稳运行，年度目标达成情况良好。</w:t>
            </w:r>
          </w:p>
        </w:tc>
      </w:tr>
      <w:tr w14:paraId="2F77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89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29C3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两台服务未购置，采购结余等资金未及时调整预算，导致执行率较低。</w:t>
            </w:r>
          </w:p>
        </w:tc>
      </w:tr>
      <w:tr w14:paraId="1DB2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3E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A652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在以后工作中，将及时调整预算，提高预算执行率。</w:t>
            </w:r>
          </w:p>
        </w:tc>
      </w:tr>
      <w:tr w14:paraId="0CC8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F7BBB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项目负责人：张延鹤</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186A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财务负责人：韦佳</w:t>
            </w:r>
          </w:p>
        </w:tc>
      </w:tr>
      <w:tr w14:paraId="5419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tcBorders>
              <w:top w:val="nil"/>
              <w:left w:val="nil"/>
              <w:bottom w:val="nil"/>
              <w:right w:val="nil"/>
            </w:tcBorders>
            <w:shd w:val="clear" w:color="auto" w:fill="auto"/>
            <w:vAlign w:val="center"/>
          </w:tcPr>
          <w:p w14:paraId="1E3D7CC2">
            <w:pPr>
              <w:rPr>
                <w:rFonts w:hint="eastAsia" w:ascii="黑体" w:hAnsi="黑体" w:eastAsia="黑体" w:cs="黑体"/>
                <w:i w:val="0"/>
                <w:iCs w:val="0"/>
                <w:color w:val="000000"/>
                <w:sz w:val="18"/>
                <w:szCs w:val="18"/>
                <w:u w:val="none"/>
              </w:rPr>
            </w:pPr>
          </w:p>
          <w:p w14:paraId="3E4BF1D2">
            <w:pPr>
              <w:pStyle w:val="2"/>
              <w:rPr>
                <w:rFonts w:hint="eastAsia" w:ascii="黑体" w:hAnsi="黑体" w:eastAsia="黑体" w:cs="黑体"/>
                <w:i w:val="0"/>
                <w:iCs w:val="0"/>
                <w:color w:val="000000"/>
                <w:sz w:val="18"/>
                <w:szCs w:val="18"/>
                <w:u w:val="none"/>
              </w:rPr>
            </w:pPr>
          </w:p>
          <w:p w14:paraId="60CBC4B0">
            <w:pPr>
              <w:pStyle w:val="3"/>
              <w:rPr>
                <w:rFonts w:hint="eastAsia" w:ascii="黑体" w:hAnsi="黑体" w:eastAsia="黑体" w:cs="黑体"/>
                <w:i w:val="0"/>
                <w:iCs w:val="0"/>
                <w:color w:val="000000"/>
                <w:sz w:val="18"/>
                <w:szCs w:val="18"/>
                <w:u w:val="none"/>
              </w:rPr>
            </w:pPr>
          </w:p>
          <w:p w14:paraId="1DD82B72">
            <w:pPr>
              <w:pStyle w:val="3"/>
              <w:rPr>
                <w:rFonts w:hint="eastAsia" w:ascii="黑体" w:hAnsi="黑体" w:eastAsia="黑体" w:cs="黑体"/>
                <w:i w:val="0"/>
                <w:iCs w:val="0"/>
                <w:color w:val="000000"/>
                <w:sz w:val="18"/>
                <w:szCs w:val="18"/>
                <w:u w:val="none"/>
              </w:rPr>
            </w:pPr>
          </w:p>
          <w:p w14:paraId="3539FF80">
            <w:pPr>
              <w:pStyle w:val="3"/>
              <w:rPr>
                <w:rFonts w:hint="eastAsia" w:ascii="黑体" w:hAnsi="黑体" w:eastAsia="黑体" w:cs="黑体"/>
                <w:i w:val="0"/>
                <w:iCs w:val="0"/>
                <w:color w:val="000000"/>
                <w:sz w:val="18"/>
                <w:szCs w:val="18"/>
                <w:u w:val="none"/>
              </w:rPr>
            </w:pPr>
          </w:p>
          <w:p w14:paraId="14D4E00C">
            <w:pPr>
              <w:pStyle w:val="3"/>
              <w:ind w:left="0" w:leftChars="0" w:firstLine="0" w:firstLineChars="0"/>
              <w:rPr>
                <w:rFonts w:hint="eastAsia" w:ascii="黑体" w:hAnsi="黑体" w:eastAsia="黑体" w:cs="黑体"/>
                <w:i w:val="0"/>
                <w:iCs w:val="0"/>
                <w:color w:val="000000"/>
                <w:sz w:val="18"/>
                <w:szCs w:val="18"/>
                <w:u w:val="none"/>
              </w:rPr>
            </w:pPr>
          </w:p>
          <w:p w14:paraId="45038406">
            <w:pPr>
              <w:pStyle w:val="3"/>
              <w:ind w:left="0" w:leftChars="0" w:firstLine="0" w:firstLineChars="0"/>
              <w:rPr>
                <w:rFonts w:hint="eastAsia" w:ascii="黑体" w:hAnsi="黑体" w:eastAsia="黑体" w:cs="黑体"/>
                <w:i w:val="0"/>
                <w:iCs w:val="0"/>
                <w:color w:val="000000"/>
                <w:sz w:val="18"/>
                <w:szCs w:val="18"/>
                <w:u w:val="none"/>
              </w:rPr>
            </w:pPr>
          </w:p>
        </w:tc>
        <w:tc>
          <w:tcPr>
            <w:tcW w:w="563" w:type="pct"/>
            <w:tcBorders>
              <w:top w:val="nil"/>
              <w:left w:val="nil"/>
              <w:bottom w:val="nil"/>
              <w:right w:val="nil"/>
            </w:tcBorders>
            <w:shd w:val="clear" w:color="auto" w:fill="auto"/>
            <w:vAlign w:val="center"/>
          </w:tcPr>
          <w:p w14:paraId="7C76E294">
            <w:pPr>
              <w:rPr>
                <w:rFonts w:hint="eastAsia" w:ascii="黑体" w:hAnsi="黑体" w:eastAsia="黑体" w:cs="黑体"/>
                <w:i w:val="0"/>
                <w:iCs w:val="0"/>
                <w:color w:val="000000"/>
                <w:sz w:val="18"/>
                <w:szCs w:val="18"/>
                <w:u w:val="none"/>
              </w:rPr>
            </w:pPr>
          </w:p>
        </w:tc>
        <w:tc>
          <w:tcPr>
            <w:tcW w:w="549" w:type="pct"/>
            <w:tcBorders>
              <w:top w:val="nil"/>
              <w:left w:val="nil"/>
              <w:bottom w:val="nil"/>
              <w:right w:val="nil"/>
            </w:tcBorders>
            <w:shd w:val="clear" w:color="auto" w:fill="auto"/>
            <w:vAlign w:val="center"/>
          </w:tcPr>
          <w:p w14:paraId="62064ACA">
            <w:pPr>
              <w:rPr>
                <w:rFonts w:hint="eastAsia" w:ascii="黑体" w:hAnsi="黑体" w:eastAsia="黑体" w:cs="黑体"/>
                <w:i w:val="0"/>
                <w:iCs w:val="0"/>
                <w:color w:val="000000"/>
                <w:sz w:val="18"/>
                <w:szCs w:val="18"/>
                <w:u w:val="none"/>
              </w:rPr>
            </w:pPr>
          </w:p>
        </w:tc>
        <w:tc>
          <w:tcPr>
            <w:tcW w:w="565" w:type="pct"/>
            <w:tcBorders>
              <w:top w:val="nil"/>
              <w:left w:val="nil"/>
              <w:bottom w:val="nil"/>
              <w:right w:val="nil"/>
            </w:tcBorders>
            <w:shd w:val="clear" w:color="auto" w:fill="auto"/>
            <w:vAlign w:val="center"/>
          </w:tcPr>
          <w:p w14:paraId="14324EFD">
            <w:pPr>
              <w:rPr>
                <w:rFonts w:hint="eastAsia" w:ascii="黑体" w:hAnsi="黑体" w:eastAsia="黑体" w:cs="黑体"/>
                <w:i w:val="0"/>
                <w:iCs w:val="0"/>
                <w:color w:val="000000"/>
                <w:sz w:val="18"/>
                <w:szCs w:val="18"/>
                <w:u w:val="none"/>
              </w:rPr>
            </w:pPr>
          </w:p>
        </w:tc>
        <w:tc>
          <w:tcPr>
            <w:tcW w:w="235" w:type="pct"/>
            <w:tcBorders>
              <w:top w:val="nil"/>
              <w:left w:val="nil"/>
              <w:bottom w:val="nil"/>
              <w:right w:val="nil"/>
            </w:tcBorders>
            <w:shd w:val="clear" w:color="auto" w:fill="auto"/>
            <w:vAlign w:val="center"/>
          </w:tcPr>
          <w:p w14:paraId="3C2589A5">
            <w:pPr>
              <w:rPr>
                <w:rFonts w:hint="eastAsia" w:ascii="黑体" w:hAnsi="黑体" w:eastAsia="黑体" w:cs="黑体"/>
                <w:i w:val="0"/>
                <w:iCs w:val="0"/>
                <w:color w:val="000000"/>
                <w:sz w:val="18"/>
                <w:szCs w:val="18"/>
                <w:u w:val="none"/>
              </w:rPr>
            </w:pPr>
          </w:p>
        </w:tc>
        <w:tc>
          <w:tcPr>
            <w:tcW w:w="495" w:type="pct"/>
            <w:tcBorders>
              <w:top w:val="nil"/>
              <w:left w:val="nil"/>
              <w:bottom w:val="nil"/>
              <w:right w:val="nil"/>
            </w:tcBorders>
            <w:shd w:val="clear" w:color="auto" w:fill="auto"/>
            <w:vAlign w:val="center"/>
          </w:tcPr>
          <w:p w14:paraId="229995CB">
            <w:pPr>
              <w:rPr>
                <w:rFonts w:hint="eastAsia" w:ascii="黑体" w:hAnsi="黑体" w:eastAsia="黑体" w:cs="黑体"/>
                <w:i w:val="0"/>
                <w:iCs w:val="0"/>
                <w:color w:val="000000"/>
                <w:sz w:val="18"/>
                <w:szCs w:val="18"/>
                <w:u w:val="none"/>
              </w:rPr>
            </w:pPr>
          </w:p>
        </w:tc>
        <w:tc>
          <w:tcPr>
            <w:tcW w:w="408" w:type="pct"/>
            <w:tcBorders>
              <w:top w:val="nil"/>
              <w:left w:val="nil"/>
              <w:bottom w:val="nil"/>
              <w:right w:val="nil"/>
            </w:tcBorders>
            <w:shd w:val="clear" w:color="auto" w:fill="auto"/>
            <w:vAlign w:val="center"/>
          </w:tcPr>
          <w:p w14:paraId="48C1D7E1">
            <w:pPr>
              <w:rPr>
                <w:rFonts w:hint="eastAsia" w:ascii="黑体" w:hAnsi="黑体" w:eastAsia="黑体" w:cs="黑体"/>
                <w:i w:val="0"/>
                <w:iCs w:val="0"/>
                <w:color w:val="000000"/>
                <w:sz w:val="18"/>
                <w:szCs w:val="18"/>
                <w:u w:val="none"/>
              </w:rPr>
            </w:pPr>
          </w:p>
        </w:tc>
        <w:tc>
          <w:tcPr>
            <w:tcW w:w="530" w:type="pct"/>
            <w:tcBorders>
              <w:top w:val="nil"/>
              <w:left w:val="nil"/>
              <w:bottom w:val="nil"/>
              <w:right w:val="nil"/>
            </w:tcBorders>
            <w:shd w:val="clear" w:color="auto" w:fill="auto"/>
            <w:vAlign w:val="center"/>
          </w:tcPr>
          <w:p w14:paraId="2DEDF14B">
            <w:pPr>
              <w:rPr>
                <w:rFonts w:hint="eastAsia" w:ascii="黑体" w:hAnsi="黑体" w:eastAsia="黑体" w:cs="黑体"/>
                <w:i w:val="0"/>
                <w:iCs w:val="0"/>
                <w:color w:val="000000"/>
                <w:sz w:val="18"/>
                <w:szCs w:val="18"/>
                <w:u w:val="none"/>
              </w:rPr>
            </w:pPr>
          </w:p>
        </w:tc>
        <w:tc>
          <w:tcPr>
            <w:tcW w:w="231" w:type="pct"/>
            <w:tcBorders>
              <w:top w:val="nil"/>
              <w:left w:val="nil"/>
              <w:bottom w:val="nil"/>
              <w:right w:val="nil"/>
            </w:tcBorders>
            <w:shd w:val="clear" w:color="auto" w:fill="auto"/>
            <w:vAlign w:val="center"/>
          </w:tcPr>
          <w:p w14:paraId="2AF917AD">
            <w:pPr>
              <w:rPr>
                <w:rFonts w:hint="eastAsia" w:ascii="黑体" w:hAnsi="黑体" w:eastAsia="黑体" w:cs="黑体"/>
                <w:i w:val="0"/>
                <w:iCs w:val="0"/>
                <w:color w:val="000000"/>
                <w:sz w:val="18"/>
                <w:szCs w:val="18"/>
                <w:u w:val="none"/>
              </w:rPr>
            </w:pPr>
          </w:p>
        </w:tc>
        <w:tc>
          <w:tcPr>
            <w:tcW w:w="390" w:type="pct"/>
            <w:tcBorders>
              <w:top w:val="nil"/>
              <w:left w:val="nil"/>
              <w:bottom w:val="nil"/>
              <w:right w:val="nil"/>
            </w:tcBorders>
            <w:shd w:val="clear" w:color="auto" w:fill="auto"/>
            <w:vAlign w:val="center"/>
          </w:tcPr>
          <w:p w14:paraId="6BAC1212">
            <w:pPr>
              <w:rPr>
                <w:rFonts w:hint="eastAsia" w:ascii="黑体" w:hAnsi="黑体" w:eastAsia="黑体" w:cs="黑体"/>
                <w:i w:val="0"/>
                <w:iCs w:val="0"/>
                <w:color w:val="000000"/>
                <w:sz w:val="18"/>
                <w:szCs w:val="18"/>
                <w:u w:val="none"/>
              </w:rPr>
            </w:pPr>
          </w:p>
        </w:tc>
        <w:tc>
          <w:tcPr>
            <w:tcW w:w="692" w:type="pct"/>
            <w:tcBorders>
              <w:top w:val="nil"/>
              <w:left w:val="nil"/>
              <w:bottom w:val="nil"/>
              <w:right w:val="nil"/>
            </w:tcBorders>
            <w:shd w:val="clear" w:color="auto" w:fill="auto"/>
            <w:vAlign w:val="center"/>
          </w:tcPr>
          <w:p w14:paraId="67F27A2D">
            <w:pPr>
              <w:rPr>
                <w:rFonts w:hint="eastAsia" w:ascii="黑体" w:hAnsi="黑体" w:eastAsia="黑体" w:cs="黑体"/>
                <w:i w:val="0"/>
                <w:iCs w:val="0"/>
                <w:color w:val="000000"/>
                <w:sz w:val="18"/>
                <w:szCs w:val="18"/>
                <w:u w:val="none"/>
              </w:rPr>
            </w:pPr>
          </w:p>
        </w:tc>
      </w:tr>
      <w:tr w14:paraId="3BE98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BC491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34D5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E14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5D7151">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51000023Y000008301305-单位运转项目（311904其他）</w:t>
            </w:r>
          </w:p>
        </w:tc>
      </w:tr>
      <w:tr w14:paraId="29257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AE5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30EDD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四川省退役军人事务厅部门</w:t>
            </w:r>
          </w:p>
        </w:tc>
        <w:tc>
          <w:tcPr>
            <w:tcW w:w="530" w:type="pct"/>
            <w:tcBorders>
              <w:top w:val="nil"/>
              <w:left w:val="nil"/>
              <w:bottom w:val="nil"/>
              <w:right w:val="nil"/>
            </w:tcBorders>
            <w:shd w:val="clear" w:color="auto" w:fill="auto"/>
            <w:vAlign w:val="center"/>
          </w:tcPr>
          <w:p w14:paraId="027D11B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948BE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四川省第三退役军人医院（四川省退役军人康复中心、四川省第三荣军优抚医院）</w:t>
            </w:r>
          </w:p>
        </w:tc>
      </w:tr>
      <w:tr w14:paraId="39D19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167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5F0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BE8659">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项目年度目标</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A5C4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年度目标完成情况</w:t>
            </w:r>
          </w:p>
        </w:tc>
      </w:tr>
      <w:tr w14:paraId="5138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1E36A">
            <w:pP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55B7B">
            <w:pPr>
              <w:rPr>
                <w:rFonts w:hint="eastAsia" w:ascii="宋体" w:hAnsi="宋体" w:eastAsia="宋体" w:cs="宋体"/>
                <w:i w:val="0"/>
                <w:iCs w:val="0"/>
                <w:color w:val="000000"/>
                <w:sz w:val="18"/>
                <w:szCs w:val="18"/>
                <w:u w:val="none"/>
              </w:rPr>
            </w:pPr>
          </w:p>
        </w:tc>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2871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我院“十四五”建设规划，通过运转类项目的实施，为我院创造优良的医养、疗养、康养环境，推进我院建设的步伐，更好的为在院伤残军人、退役军人、优抚对象以及社会群体服务。具体包括：单位日常维修，信息系统维修（护）费，消防电梯污水站等维修（护）费等;革命伤残军人服务劳务费。</w:t>
            </w:r>
          </w:p>
        </w:tc>
        <w:tc>
          <w:tcPr>
            <w:tcW w:w="1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FB04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通过运转类项目的实施为我院创造优良的医养、疗养、康养环境，推进我院建设的步伐，更好的为在院伤残军人、退役军人、优抚对象以及社会群体服务，保障了医院平稳运行。</w:t>
            </w:r>
          </w:p>
        </w:tc>
      </w:tr>
      <w:tr w14:paraId="30D3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E1BA4">
            <w:pP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B52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9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0476C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单位日常维修，信息系统维修（护）费，消防电梯污水站等维修（护）费等;革命伤残军人服务劳务费等保障了医院平稳运行。</w:t>
            </w:r>
          </w:p>
        </w:tc>
      </w:tr>
      <w:tr w14:paraId="6D78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38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28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C3F4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年初预算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E70A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调整后预算数</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7930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预算执行数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866FB">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预算执行率</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3B9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770A6">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7EAF9">
            <w:pPr>
              <w:keepNext w:val="0"/>
              <w:keepLines w:val="0"/>
              <w:widowControl/>
              <w:suppressLineNumbers w:val="0"/>
              <w:ind w:firstLine="360" w:firstLineChars="20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原因</w:t>
            </w:r>
          </w:p>
        </w:tc>
      </w:tr>
      <w:tr w14:paraId="566A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CD7C9">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0F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2A1D">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663.00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0190">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743.00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6A6D0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309.45</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2DB8">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41.65%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370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4E5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4.17</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7912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因伤残军人医疗费和专用耗材之间的账务处理问题，未在一体化平台体现。实际决算支出数为：666.07万元，预算执行率为89.65%。未达到90%的主要原因是：原计划购买三医监管平台和重精管理系统，因卫健部门原因，未能实施。</w:t>
            </w:r>
          </w:p>
        </w:tc>
      </w:tr>
      <w:tr w14:paraId="5578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A8D77">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7B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58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36.34</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4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36.34</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A48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36.34</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C4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BC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B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BB3D8">
            <w:pPr>
              <w:rPr>
                <w:rFonts w:hint="eastAsia" w:ascii="黑体" w:hAnsi="黑体" w:eastAsia="黑体" w:cs="黑体"/>
                <w:i w:val="0"/>
                <w:iCs w:val="0"/>
                <w:color w:val="000000"/>
                <w:sz w:val="18"/>
                <w:szCs w:val="18"/>
                <w:u w:val="none"/>
              </w:rPr>
            </w:pPr>
          </w:p>
        </w:tc>
      </w:tr>
      <w:tr w14:paraId="2716C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151D8">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F3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23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2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64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75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73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6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EF143">
            <w:pPr>
              <w:rPr>
                <w:rFonts w:hint="eastAsia" w:ascii="黑体" w:hAnsi="黑体" w:eastAsia="黑体" w:cs="黑体"/>
                <w:i w:val="0"/>
                <w:iCs w:val="0"/>
                <w:color w:val="000000"/>
                <w:sz w:val="18"/>
                <w:szCs w:val="18"/>
                <w:u w:val="none"/>
              </w:rPr>
            </w:pPr>
          </w:p>
        </w:tc>
      </w:tr>
      <w:tr w14:paraId="32314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49B53">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F0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86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626.66</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E9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706.66</w:t>
            </w: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89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273.11</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49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38.65%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EE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00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57EC1">
            <w:pPr>
              <w:rPr>
                <w:rFonts w:hint="eastAsia" w:ascii="黑体" w:hAnsi="黑体" w:eastAsia="黑体" w:cs="黑体"/>
                <w:i w:val="0"/>
                <w:iCs w:val="0"/>
                <w:color w:val="000000"/>
                <w:sz w:val="18"/>
                <w:szCs w:val="18"/>
                <w:u w:val="none"/>
              </w:rPr>
            </w:pPr>
          </w:p>
        </w:tc>
      </w:tr>
      <w:tr w14:paraId="03D7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DF6E6">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7D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0A14E">
            <w:pPr>
              <w:jc w:val="center"/>
              <w:rPr>
                <w:rFonts w:hint="eastAsia" w:ascii="微软雅黑" w:hAnsi="微软雅黑" w:eastAsia="微软雅黑" w:cs="微软雅黑"/>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1BF0">
            <w:pPr>
              <w:jc w:val="center"/>
              <w:rPr>
                <w:rFonts w:hint="eastAsia" w:ascii="微软雅黑" w:hAnsi="微软雅黑" w:eastAsia="微软雅黑" w:cs="微软雅黑"/>
                <w:i w:val="0"/>
                <w:iCs w:val="0"/>
                <w:color w:val="000000"/>
                <w:sz w:val="18"/>
                <w:szCs w:val="18"/>
                <w:u w:val="none"/>
              </w:rPr>
            </w:pPr>
          </w:p>
        </w:tc>
        <w:tc>
          <w:tcPr>
            <w:tcW w:w="11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7BBAFE">
            <w:pPr>
              <w:jc w:val="center"/>
              <w:rPr>
                <w:rFonts w:hint="eastAsia" w:ascii="微软雅黑" w:hAnsi="微软雅黑" w:eastAsia="微软雅黑" w:cs="微软雅黑"/>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C490B">
            <w:pPr>
              <w:jc w:val="center"/>
              <w:rPr>
                <w:rFonts w:hint="eastAsia" w:ascii="微软雅黑" w:hAnsi="微软雅黑" w:eastAsia="微软雅黑" w:cs="微软雅黑"/>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F8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E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B615D">
            <w:pPr>
              <w:rPr>
                <w:rFonts w:hint="eastAsia" w:ascii="黑体" w:hAnsi="黑体" w:eastAsia="黑体" w:cs="黑体"/>
                <w:i w:val="0"/>
                <w:iCs w:val="0"/>
                <w:color w:val="000000"/>
                <w:sz w:val="18"/>
                <w:szCs w:val="18"/>
                <w:u w:val="none"/>
              </w:rPr>
            </w:pPr>
          </w:p>
        </w:tc>
      </w:tr>
      <w:tr w14:paraId="0A97E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79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93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B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2F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7E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8E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1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17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DF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DB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1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638F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FCEB5">
            <w:pPr>
              <w:jc w:val="center"/>
              <w:rPr>
                <w:rFonts w:hint="eastAsia" w:ascii="宋体" w:hAnsi="宋体" w:eastAsia="宋体" w:cs="宋体"/>
                <w:i w:val="0"/>
                <w:iCs w:val="0"/>
                <w:color w:val="000000"/>
                <w:sz w:val="18"/>
                <w:szCs w:val="18"/>
                <w:u w:val="none"/>
              </w:rPr>
            </w:pPr>
          </w:p>
        </w:tc>
        <w:tc>
          <w:tcPr>
            <w:tcW w:w="5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5A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62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C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为社会提供住院医疗服务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9E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4A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A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2E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2454</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2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59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E744B">
            <w:pPr>
              <w:jc w:val="center"/>
              <w:rPr>
                <w:rFonts w:hint="eastAsia" w:ascii="微软雅黑" w:hAnsi="微软雅黑" w:eastAsia="微软雅黑" w:cs="微软雅黑"/>
                <w:i w:val="0"/>
                <w:iCs w:val="0"/>
                <w:color w:val="000000"/>
                <w:sz w:val="18"/>
                <w:szCs w:val="18"/>
                <w:u w:val="none"/>
              </w:rPr>
            </w:pPr>
          </w:p>
        </w:tc>
      </w:tr>
      <w:tr w14:paraId="41541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5316B">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5DFD0">
            <w:pPr>
              <w:jc w:val="center"/>
              <w:rPr>
                <w:rFonts w:hint="eastAsia" w:ascii="宋体" w:hAnsi="宋体" w:eastAsia="宋体" w:cs="宋体"/>
                <w:i w:val="0"/>
                <w:iCs w:val="0"/>
                <w:color w:val="000000"/>
                <w:sz w:val="18"/>
                <w:szCs w:val="18"/>
                <w:u w:val="none"/>
              </w:rPr>
            </w:pPr>
          </w:p>
        </w:tc>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C1E48">
            <w:pPr>
              <w:jc w:val="center"/>
              <w:rPr>
                <w:rFonts w:hint="eastAsia" w:ascii="宋体" w:hAnsi="宋体" w:eastAsia="宋体" w:cs="宋体"/>
                <w:i w:val="0"/>
                <w:iCs w:val="0"/>
                <w:color w:val="000000"/>
                <w:sz w:val="18"/>
                <w:szCs w:val="18"/>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1C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为社会提供门诊医疗服务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68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C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E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5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19996</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6E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0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C781">
            <w:pPr>
              <w:jc w:val="center"/>
              <w:rPr>
                <w:rFonts w:hint="eastAsia" w:ascii="微软雅黑" w:hAnsi="微软雅黑" w:eastAsia="微软雅黑" w:cs="微软雅黑"/>
                <w:i w:val="0"/>
                <w:iCs w:val="0"/>
                <w:color w:val="000000"/>
                <w:sz w:val="18"/>
                <w:szCs w:val="18"/>
                <w:u w:val="none"/>
              </w:rPr>
            </w:pPr>
          </w:p>
        </w:tc>
      </w:tr>
      <w:tr w14:paraId="076DB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29FB2">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9A7E0">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7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54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维修验收合格率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3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5C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81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A5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A2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8E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05D73">
            <w:pPr>
              <w:jc w:val="center"/>
              <w:rPr>
                <w:rFonts w:hint="eastAsia" w:ascii="微软雅黑" w:hAnsi="微软雅黑" w:eastAsia="微软雅黑" w:cs="微软雅黑"/>
                <w:i w:val="0"/>
                <w:iCs w:val="0"/>
                <w:color w:val="000000"/>
                <w:sz w:val="18"/>
                <w:szCs w:val="18"/>
                <w:u w:val="none"/>
              </w:rPr>
            </w:pPr>
          </w:p>
        </w:tc>
      </w:tr>
      <w:tr w14:paraId="6544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B1A12">
            <w:pPr>
              <w:jc w:val="center"/>
              <w:rPr>
                <w:rFonts w:hint="eastAsia" w:ascii="宋体" w:hAnsi="宋体" w:eastAsia="宋体" w:cs="宋体"/>
                <w:i w:val="0"/>
                <w:iCs w:val="0"/>
                <w:color w:val="000000"/>
                <w:sz w:val="18"/>
                <w:szCs w:val="18"/>
                <w:u w:val="none"/>
              </w:rPr>
            </w:pPr>
          </w:p>
        </w:tc>
        <w:tc>
          <w:tcPr>
            <w:tcW w:w="5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46307">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8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3F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完成时效</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7A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BE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9C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58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4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63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FF61E">
            <w:pPr>
              <w:jc w:val="center"/>
              <w:rPr>
                <w:rFonts w:hint="eastAsia" w:ascii="微软雅黑" w:hAnsi="微软雅黑" w:eastAsia="微软雅黑" w:cs="微软雅黑"/>
                <w:i w:val="0"/>
                <w:iCs w:val="0"/>
                <w:color w:val="000000"/>
                <w:sz w:val="18"/>
                <w:szCs w:val="18"/>
                <w:u w:val="none"/>
              </w:rPr>
            </w:pPr>
          </w:p>
        </w:tc>
      </w:tr>
      <w:tr w14:paraId="23988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F7454">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A3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6F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56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提高履职效率</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F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4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1B775">
            <w:pPr>
              <w:jc w:val="center"/>
              <w:rPr>
                <w:rFonts w:hint="eastAsia" w:ascii="宋体" w:hAnsi="宋体" w:eastAsia="宋体" w:cs="宋体"/>
                <w:i w:val="0"/>
                <w:iCs w:val="0"/>
                <w:color w:val="000000"/>
                <w:sz w:val="18"/>
                <w:szCs w:val="18"/>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0E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E3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DC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97E4">
            <w:pPr>
              <w:jc w:val="center"/>
              <w:rPr>
                <w:rFonts w:hint="eastAsia" w:ascii="微软雅黑" w:hAnsi="微软雅黑" w:eastAsia="微软雅黑" w:cs="微软雅黑"/>
                <w:i w:val="0"/>
                <w:iCs w:val="0"/>
                <w:color w:val="000000"/>
                <w:sz w:val="18"/>
                <w:szCs w:val="18"/>
                <w:u w:val="none"/>
              </w:rPr>
            </w:pPr>
          </w:p>
        </w:tc>
      </w:tr>
      <w:tr w14:paraId="24E47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9724C">
            <w:pPr>
              <w:jc w:val="center"/>
              <w:rPr>
                <w:rFonts w:hint="eastAsia" w:ascii="宋体" w:hAnsi="宋体" w:eastAsia="宋体" w:cs="宋体"/>
                <w:i w:val="0"/>
                <w:iCs w:val="0"/>
                <w:color w:val="000000"/>
                <w:sz w:val="18"/>
                <w:szCs w:val="18"/>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4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8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7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7A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42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7B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9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4B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A9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7325D">
            <w:pPr>
              <w:jc w:val="center"/>
              <w:rPr>
                <w:rFonts w:hint="eastAsia" w:ascii="微软雅黑" w:hAnsi="微软雅黑" w:eastAsia="微软雅黑" w:cs="微软雅黑"/>
                <w:i w:val="0"/>
                <w:iCs w:val="0"/>
                <w:color w:val="000000"/>
                <w:sz w:val="18"/>
                <w:szCs w:val="18"/>
                <w:u w:val="none"/>
              </w:rPr>
            </w:pPr>
          </w:p>
        </w:tc>
      </w:tr>
      <w:tr w14:paraId="75B46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88B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F4BB1">
            <w:pPr>
              <w:rPr>
                <w:rFonts w:hint="eastAsia" w:ascii="宋体" w:hAnsi="宋体" w:eastAsia="宋体" w:cs="宋体"/>
                <w:i w:val="0"/>
                <w:iCs w:val="0"/>
                <w:color w:val="000000"/>
                <w:sz w:val="18"/>
                <w:szCs w:val="18"/>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39F5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3025D">
            <w:pPr>
              <w:rPr>
                <w:rFonts w:hint="eastAsia" w:ascii="宋体" w:hAnsi="宋体" w:eastAsia="宋体" w:cs="宋体"/>
                <w:i w:val="0"/>
                <w:iCs w:val="0"/>
                <w:color w:val="000000"/>
                <w:sz w:val="18"/>
                <w:szCs w:val="18"/>
                <w:u w:val="none"/>
              </w:rPr>
            </w:pPr>
          </w:p>
        </w:tc>
      </w:tr>
      <w:tr w14:paraId="3DC7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C2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DE72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总评价得分：94.16分。该项目按照年初目标，完成年初计划，，有效提升了医院运营效率与患者服务质量，确保了医院各项业务的平稳运行，年度目标达成情况良好。</w:t>
            </w:r>
          </w:p>
        </w:tc>
      </w:tr>
      <w:tr w14:paraId="77511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81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C148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1.三医监管平台和重精管理系统未购买，但未调整预算。2.因伤残军人医疗费和专用耗材之间的账务处理问题，未在一体化平台体现。</w:t>
            </w:r>
          </w:p>
        </w:tc>
      </w:tr>
      <w:tr w14:paraId="2F06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89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ED58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在以后工作中，将及时调整预算，提高预算执行率，用于伤残军人医疗费的专用材料费将全部在一体化平台体现。</w:t>
            </w:r>
          </w:p>
        </w:tc>
      </w:tr>
      <w:tr w14:paraId="587E5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80CA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项目负责人：张延鹤</w:t>
            </w:r>
          </w:p>
        </w:tc>
        <w:tc>
          <w:tcPr>
            <w:tcW w:w="27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4F13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财务负责人：韦佳</w:t>
            </w:r>
          </w:p>
        </w:tc>
      </w:tr>
    </w:tbl>
    <w:p w14:paraId="08C794DF">
      <w:pPr>
        <w:spacing w:line="600" w:lineRule="exact"/>
        <w:jc w:val="center"/>
        <w:rPr>
          <w:rFonts w:hint="eastAsia" w:ascii="Times New Roman" w:hAnsi="Times New Roman" w:eastAsia="黑体"/>
          <w:color w:val="auto"/>
          <w:sz w:val="44"/>
          <w:szCs w:val="44"/>
          <w:highlight w:val="none"/>
          <w:lang w:eastAsia="zh-CN"/>
        </w:rPr>
      </w:pPr>
    </w:p>
    <w:p w14:paraId="37327C48">
      <w:pPr>
        <w:spacing w:line="600" w:lineRule="exact"/>
        <w:jc w:val="center"/>
        <w:rPr>
          <w:rFonts w:hint="eastAsia" w:ascii="Times New Roman" w:hAnsi="Times New Roman" w:eastAsia="黑体"/>
          <w:color w:val="auto"/>
          <w:sz w:val="44"/>
          <w:szCs w:val="44"/>
          <w:highlight w:val="none"/>
        </w:rPr>
      </w:pPr>
    </w:p>
    <w:p w14:paraId="3AB934B5">
      <w:pPr>
        <w:spacing w:line="600" w:lineRule="exact"/>
        <w:jc w:val="center"/>
        <w:rPr>
          <w:rFonts w:hint="eastAsia" w:ascii="Times New Roman" w:hAnsi="Times New Roman" w:eastAsia="黑体"/>
          <w:color w:val="auto"/>
          <w:sz w:val="44"/>
          <w:szCs w:val="44"/>
          <w:highlight w:val="none"/>
        </w:rPr>
      </w:pPr>
    </w:p>
    <w:p w14:paraId="1B915A7D">
      <w:pPr>
        <w:spacing w:line="600" w:lineRule="exact"/>
        <w:jc w:val="center"/>
        <w:rPr>
          <w:rFonts w:hint="eastAsia" w:ascii="Times New Roman" w:hAnsi="Times New Roman" w:eastAsia="黑体"/>
          <w:color w:val="auto"/>
          <w:sz w:val="44"/>
          <w:szCs w:val="44"/>
          <w:highlight w:val="none"/>
        </w:rPr>
      </w:pPr>
    </w:p>
    <w:p w14:paraId="6FFD5148">
      <w:pPr>
        <w:spacing w:line="600" w:lineRule="exact"/>
        <w:jc w:val="center"/>
        <w:rPr>
          <w:rFonts w:hint="eastAsia" w:ascii="Times New Roman" w:hAnsi="Times New Roman" w:eastAsia="黑体"/>
          <w:color w:val="auto"/>
          <w:sz w:val="44"/>
          <w:szCs w:val="44"/>
          <w:highlight w:val="none"/>
        </w:rPr>
      </w:pPr>
    </w:p>
    <w:p w14:paraId="04F2C640">
      <w:pPr>
        <w:widowControl/>
        <w:jc w:val="both"/>
        <w:rPr>
          <w:rFonts w:hint="eastAsia" w:ascii="Times New Roman" w:hAnsi="Times New Roman" w:eastAsia="黑体"/>
          <w:color w:val="auto"/>
          <w:sz w:val="44"/>
          <w:szCs w:val="44"/>
          <w:highlight w:val="none"/>
        </w:rPr>
      </w:pPr>
      <w:bookmarkStart w:id="64" w:name="_Toc15396618"/>
    </w:p>
    <w:p w14:paraId="0D9567C8">
      <w:pPr>
        <w:pStyle w:val="5"/>
        <w:bidi w:val="0"/>
        <w:jc w:val="center"/>
        <w:rPr>
          <w:rFonts w:hint="eastAsia" w:ascii="Times New Roman" w:hAnsi="Times New Roman" w:eastAsia="仿宋"/>
          <w:b w:val="0"/>
          <w:color w:val="auto"/>
          <w:highlight w:val="none"/>
        </w:rPr>
      </w:pPr>
      <w:bookmarkStart w:id="65" w:name="_Toc23182"/>
      <w:bookmarkStart w:id="92" w:name="_GoBack"/>
      <w:r>
        <w:rPr>
          <w:rFonts w:hint="eastAsia"/>
        </w:rPr>
        <w:t>第五部分 附表</w:t>
      </w:r>
      <w:bookmarkEnd w:id="61"/>
      <w:bookmarkEnd w:id="64"/>
      <w:bookmarkEnd w:id="65"/>
      <w:bookmarkStart w:id="66" w:name="_Toc15396619"/>
    </w:p>
    <w:bookmarkEnd w:id="92"/>
    <w:p w14:paraId="34769FC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5C1306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67" w:name="_Toc18185"/>
      <w:r>
        <w:rPr>
          <w:rFonts w:hint="eastAsia" w:ascii="Times New Roman" w:hAnsi="Times New Roman" w:eastAsia="仿宋_GB2312" w:cs="仿宋_GB2312"/>
          <w:color w:val="auto"/>
          <w:sz w:val="32"/>
          <w:szCs w:val="32"/>
          <w:highlight w:val="none"/>
        </w:rPr>
        <w:t>一、收入支出决算总表</w:t>
      </w:r>
      <w:bookmarkEnd w:id="66"/>
      <w:bookmarkEnd w:id="67"/>
    </w:p>
    <w:p w14:paraId="01BDAB9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68" w:name="_Toc15396620"/>
      <w:bookmarkStart w:id="69" w:name="_Toc26868"/>
      <w:r>
        <w:rPr>
          <w:rFonts w:hint="eastAsia" w:ascii="Times New Roman" w:hAnsi="Times New Roman" w:eastAsia="仿宋_GB2312" w:cs="仿宋_GB2312"/>
          <w:color w:val="auto"/>
          <w:sz w:val="32"/>
          <w:szCs w:val="32"/>
          <w:highlight w:val="none"/>
        </w:rPr>
        <w:t>二、收入决算表</w:t>
      </w:r>
      <w:bookmarkEnd w:id="68"/>
      <w:bookmarkEnd w:id="69"/>
    </w:p>
    <w:p w14:paraId="1EA616E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0" w:name="_Toc15396621"/>
      <w:bookmarkStart w:id="71" w:name="_Toc10960"/>
      <w:r>
        <w:rPr>
          <w:rFonts w:hint="eastAsia" w:ascii="Times New Roman" w:hAnsi="Times New Roman" w:eastAsia="仿宋_GB2312" w:cs="仿宋_GB2312"/>
          <w:color w:val="auto"/>
          <w:sz w:val="32"/>
          <w:szCs w:val="32"/>
          <w:highlight w:val="none"/>
        </w:rPr>
        <w:t>三、支出决算表</w:t>
      </w:r>
      <w:bookmarkEnd w:id="70"/>
      <w:bookmarkEnd w:id="71"/>
    </w:p>
    <w:p w14:paraId="6E601EC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2" w:name="_Toc5460"/>
      <w:bookmarkStart w:id="73" w:name="_Toc15396622"/>
      <w:r>
        <w:rPr>
          <w:rFonts w:hint="eastAsia" w:ascii="Times New Roman" w:hAnsi="Times New Roman" w:eastAsia="仿宋_GB2312" w:cs="仿宋_GB2312"/>
          <w:color w:val="auto"/>
          <w:sz w:val="32"/>
          <w:szCs w:val="32"/>
          <w:highlight w:val="none"/>
        </w:rPr>
        <w:t>四、财政拨款收入支出决算总表</w:t>
      </w:r>
      <w:bookmarkEnd w:id="72"/>
      <w:bookmarkEnd w:id="73"/>
    </w:p>
    <w:p w14:paraId="4AAF09B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4" w:name="_Toc4268"/>
      <w:bookmarkStart w:id="75" w:name="_Toc15396623"/>
      <w:r>
        <w:rPr>
          <w:rFonts w:hint="eastAsia" w:ascii="Times New Roman" w:hAnsi="Times New Roman" w:eastAsia="仿宋_GB2312" w:cs="仿宋_GB2312"/>
          <w:color w:val="auto"/>
          <w:sz w:val="32"/>
          <w:szCs w:val="32"/>
          <w:highlight w:val="none"/>
        </w:rPr>
        <w:t>五、财政拨款支出决算明细表</w:t>
      </w:r>
      <w:bookmarkEnd w:id="74"/>
      <w:bookmarkEnd w:id="75"/>
      <w:bookmarkStart w:id="76" w:name="_Toc15396624"/>
    </w:p>
    <w:p w14:paraId="1B334BB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7" w:name="_Toc19558"/>
      <w:r>
        <w:rPr>
          <w:rFonts w:hint="eastAsia" w:ascii="Times New Roman" w:hAnsi="Times New Roman" w:eastAsia="仿宋_GB2312" w:cs="仿宋_GB2312"/>
          <w:color w:val="auto"/>
          <w:sz w:val="32"/>
          <w:szCs w:val="32"/>
          <w:highlight w:val="none"/>
        </w:rPr>
        <w:t>六、一般公共预算财政拨款支出决算表</w:t>
      </w:r>
      <w:bookmarkEnd w:id="76"/>
      <w:bookmarkEnd w:id="77"/>
    </w:p>
    <w:p w14:paraId="374DC36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8" w:name="_Toc13476"/>
      <w:bookmarkStart w:id="79" w:name="_Toc15396625"/>
      <w:r>
        <w:rPr>
          <w:rFonts w:hint="eastAsia" w:ascii="Times New Roman" w:hAnsi="Times New Roman" w:eastAsia="仿宋_GB2312" w:cs="仿宋_GB2312"/>
          <w:color w:val="auto"/>
          <w:sz w:val="32"/>
          <w:szCs w:val="32"/>
          <w:highlight w:val="none"/>
        </w:rPr>
        <w:t>七、一般公共预算财政拨款支出决算明细表</w:t>
      </w:r>
      <w:bookmarkEnd w:id="78"/>
      <w:bookmarkEnd w:id="79"/>
    </w:p>
    <w:p w14:paraId="611F4BC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000000" w:themeColor="text1"/>
          <w:sz w:val="32"/>
          <w:szCs w:val="32"/>
          <w:highlight w:val="none"/>
          <w14:textFill>
            <w14:solidFill>
              <w14:schemeClr w14:val="tx1"/>
            </w14:solidFill>
          </w14:textFill>
        </w:rPr>
      </w:pPr>
      <w:bookmarkStart w:id="80" w:name="_Toc31640"/>
      <w:bookmarkStart w:id="81" w:name="_Toc15396626"/>
      <w:r>
        <w:rPr>
          <w:rFonts w:hint="eastAsia" w:ascii="Times New Roman" w:hAnsi="Times New Roman" w:eastAsia="仿宋_GB2312" w:cs="仿宋_GB2312"/>
          <w:color w:val="auto"/>
          <w:sz w:val="32"/>
          <w:szCs w:val="32"/>
          <w:highlight w:val="none"/>
        </w:rPr>
        <w:t>八、一般公共预算财政拨款基本</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支出决算</w:t>
      </w:r>
      <w:r>
        <w:rPr>
          <w:rFonts w:hint="eastAsia" w:eastAsia="仿宋_GB2312" w:cs="仿宋_GB2312"/>
          <w:color w:val="000000" w:themeColor="text1"/>
          <w:sz w:val="32"/>
          <w:szCs w:val="32"/>
          <w:highlight w:val="none"/>
          <w:lang w:eastAsia="zh-CN"/>
          <w14:textFill>
            <w14:solidFill>
              <w14:schemeClr w14:val="tx1"/>
            </w14:solidFill>
          </w14:textFill>
        </w:rPr>
        <w:t>明细</w:t>
      </w:r>
      <w:r>
        <w:rPr>
          <w:rFonts w:hint="eastAsia" w:ascii="Times New Roman" w:hAnsi="Times New Roman" w:eastAsia="仿宋_GB2312" w:cs="仿宋_GB2312"/>
          <w:color w:val="000000" w:themeColor="text1"/>
          <w:sz w:val="32"/>
          <w:szCs w:val="32"/>
          <w:highlight w:val="none"/>
          <w14:textFill>
            <w14:solidFill>
              <w14:schemeClr w14:val="tx1"/>
            </w14:solidFill>
          </w14:textFill>
        </w:rPr>
        <w:t>表</w:t>
      </w:r>
      <w:bookmarkEnd w:id="80"/>
      <w:bookmarkEnd w:id="81"/>
    </w:p>
    <w:p w14:paraId="5284DEC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2" w:name="_Toc15396627"/>
      <w:bookmarkStart w:id="83" w:name="_Toc29157"/>
      <w:r>
        <w:rPr>
          <w:rFonts w:hint="eastAsia" w:ascii="Times New Roman" w:hAnsi="Times New Roman" w:eastAsia="仿宋_GB2312" w:cs="仿宋_GB2312"/>
          <w:color w:val="auto"/>
          <w:sz w:val="32"/>
          <w:szCs w:val="32"/>
          <w:highlight w:val="none"/>
        </w:rPr>
        <w:t>九、一般公共预算财政拨款项目支出决算表</w:t>
      </w:r>
      <w:bookmarkEnd w:id="82"/>
      <w:bookmarkEnd w:id="83"/>
    </w:p>
    <w:p w14:paraId="7A7213A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4" w:name="_Toc15396628"/>
      <w:bookmarkStart w:id="85" w:name="_Toc3825"/>
      <w:r>
        <w:rPr>
          <w:rFonts w:hint="eastAsia" w:ascii="Times New Roman" w:hAnsi="Times New Roman" w:eastAsia="仿宋_GB2312" w:cs="仿宋_GB2312"/>
          <w:color w:val="auto"/>
          <w:sz w:val="32"/>
          <w:szCs w:val="32"/>
          <w:highlight w:val="none"/>
        </w:rPr>
        <w:t>十、</w:t>
      </w:r>
      <w:bookmarkEnd w:id="84"/>
      <w:r>
        <w:rPr>
          <w:rFonts w:hint="eastAsia" w:ascii="Times New Roman" w:hAnsi="Times New Roman" w:eastAsia="仿宋_GB2312" w:cs="仿宋_GB2312"/>
          <w:color w:val="auto"/>
          <w:sz w:val="32"/>
          <w:szCs w:val="32"/>
          <w:highlight w:val="none"/>
        </w:rPr>
        <w:t>政府性基金预算财政拨款收入支出决算表</w:t>
      </w:r>
      <w:bookmarkEnd w:id="85"/>
    </w:p>
    <w:p w14:paraId="3C90F17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6" w:name="_Toc15396629"/>
      <w:bookmarkStart w:id="87" w:name="_Toc21412"/>
      <w:r>
        <w:rPr>
          <w:rFonts w:hint="eastAsia" w:ascii="Times New Roman" w:hAnsi="Times New Roman" w:eastAsia="仿宋_GB2312" w:cs="仿宋_GB2312"/>
          <w:color w:val="auto"/>
          <w:sz w:val="32"/>
          <w:szCs w:val="32"/>
          <w:highlight w:val="none"/>
        </w:rPr>
        <w:t>十一、</w:t>
      </w:r>
      <w:bookmarkEnd w:id="8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87"/>
    </w:p>
    <w:p w14:paraId="51A5575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8" w:name="_Toc15396630"/>
      <w:bookmarkStart w:id="89" w:name="_Toc7926"/>
      <w:r>
        <w:rPr>
          <w:rFonts w:hint="eastAsia" w:ascii="Times New Roman" w:hAnsi="Times New Roman" w:eastAsia="仿宋_GB2312" w:cs="仿宋_GB2312"/>
          <w:color w:val="auto"/>
          <w:sz w:val="32"/>
          <w:szCs w:val="32"/>
          <w:highlight w:val="none"/>
        </w:rPr>
        <w:t>十二、</w:t>
      </w:r>
      <w:bookmarkEnd w:id="88"/>
      <w:r>
        <w:rPr>
          <w:rFonts w:hint="eastAsia" w:ascii="Times New Roman" w:hAnsi="Times New Roman" w:eastAsia="仿宋_GB2312" w:cs="仿宋_GB2312"/>
          <w:color w:val="auto"/>
          <w:sz w:val="32"/>
          <w:szCs w:val="32"/>
          <w:highlight w:val="none"/>
          <w:lang w:eastAsia="zh-CN"/>
        </w:rPr>
        <w:t>国有资本经营预算财政拨款支出决算表</w:t>
      </w:r>
      <w:bookmarkEnd w:id="89"/>
    </w:p>
    <w:p w14:paraId="0A20A01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lang w:eastAsia="zh-CN"/>
        </w:rPr>
      </w:pPr>
      <w:bookmarkStart w:id="90" w:name="_Toc15396631"/>
      <w:bookmarkStart w:id="91" w:name="_Toc27114"/>
      <w:r>
        <w:rPr>
          <w:rFonts w:hint="eastAsia" w:ascii="Times New Roman" w:hAnsi="Times New Roman" w:eastAsia="仿宋_GB2312" w:cs="仿宋_GB2312"/>
          <w:color w:val="auto"/>
          <w:sz w:val="32"/>
          <w:szCs w:val="32"/>
          <w:highlight w:val="none"/>
        </w:rPr>
        <w:t>十三、</w:t>
      </w:r>
      <w:bookmarkEnd w:id="90"/>
      <w:r>
        <w:rPr>
          <w:rFonts w:hint="eastAsia" w:ascii="Times New Roman" w:hAnsi="Times New Roman" w:eastAsia="仿宋_GB2312" w:cs="仿宋_GB2312"/>
          <w:color w:val="auto"/>
          <w:sz w:val="32"/>
          <w:szCs w:val="32"/>
          <w:highlight w:val="none"/>
          <w:lang w:eastAsia="zh-CN"/>
        </w:rPr>
        <w:t>财政拨款“三公”经费支出决算表</w:t>
      </w:r>
      <w:bookmarkEnd w:id="91"/>
    </w:p>
    <w:p w14:paraId="4E60230C">
      <w:pPr>
        <w:rPr>
          <w:rFonts w:hint="eastAsia" w:ascii="Times New Roman" w:hAnsi="Times New Roman"/>
          <w:highlight w:val="none"/>
          <w:lang w:eastAsia="zh-CN"/>
        </w:rPr>
      </w:pPr>
    </w:p>
    <w:sectPr>
      <w:footerReference r:id="rId7" w:type="first"/>
      <w:footerReference r:id="rId6" w:type="default"/>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E8422">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392C0">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D392C0">
                    <w:pPr>
                      <w:pStyle w:val="12"/>
                    </w:pPr>
                    <w:r>
                      <w:fldChar w:fldCharType="begin"/>
                    </w:r>
                    <w:r>
                      <w:instrText xml:space="preserve"> PAGE  \* MERGEFORMAT </w:instrText>
                    </w:r>
                    <w:r>
                      <w:fldChar w:fldCharType="separate"/>
                    </w:r>
                    <w:r>
                      <w:t>- 1 -</w:t>
                    </w:r>
                    <w:r>
                      <w:fldChar w:fldCharType="end"/>
                    </w:r>
                  </w:p>
                </w:txbxContent>
              </v:textbox>
            </v:shape>
          </w:pict>
        </mc:Fallback>
      </mc:AlternateContent>
    </w:r>
  </w:p>
  <w:p w14:paraId="6D834231">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DA791">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399A7">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A6399A7">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036EA">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ED1FD">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CED1FD">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5C163072">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A4B3F">
    <w:pPr>
      <w:pStyle w:val="12"/>
    </w:pPr>
  </w:p>
  <w:p w14:paraId="0E80F2F1">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F57C7">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54F57C7">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9E14B">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0E72"/>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0E2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3EB0"/>
    <w:rsid w:val="005664BB"/>
    <w:rsid w:val="00566FFA"/>
    <w:rsid w:val="0057481D"/>
    <w:rsid w:val="0058486E"/>
    <w:rsid w:val="00585B33"/>
    <w:rsid w:val="00586FEC"/>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6300"/>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16BE5"/>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160BE"/>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269"/>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01B5E"/>
    <w:rsid w:val="015975B8"/>
    <w:rsid w:val="015F233C"/>
    <w:rsid w:val="019D55FE"/>
    <w:rsid w:val="01A324E9"/>
    <w:rsid w:val="01B666C0"/>
    <w:rsid w:val="01E426CA"/>
    <w:rsid w:val="021D04ED"/>
    <w:rsid w:val="02532161"/>
    <w:rsid w:val="026D3223"/>
    <w:rsid w:val="02A62291"/>
    <w:rsid w:val="02CB3F48"/>
    <w:rsid w:val="02FEBE30"/>
    <w:rsid w:val="03171159"/>
    <w:rsid w:val="03391357"/>
    <w:rsid w:val="03563CB7"/>
    <w:rsid w:val="03EA08A3"/>
    <w:rsid w:val="03EC63C9"/>
    <w:rsid w:val="04210325"/>
    <w:rsid w:val="04387860"/>
    <w:rsid w:val="04536448"/>
    <w:rsid w:val="0466617C"/>
    <w:rsid w:val="04FA3838"/>
    <w:rsid w:val="054162A1"/>
    <w:rsid w:val="05B80C59"/>
    <w:rsid w:val="061E35DE"/>
    <w:rsid w:val="066E0107"/>
    <w:rsid w:val="068428E9"/>
    <w:rsid w:val="06A15209"/>
    <w:rsid w:val="072916E2"/>
    <w:rsid w:val="0730481F"/>
    <w:rsid w:val="075F6EB2"/>
    <w:rsid w:val="0788465B"/>
    <w:rsid w:val="078E1545"/>
    <w:rsid w:val="07996F6E"/>
    <w:rsid w:val="07BC4304"/>
    <w:rsid w:val="07D57174"/>
    <w:rsid w:val="07DFD8BA"/>
    <w:rsid w:val="080C0FE9"/>
    <w:rsid w:val="08420CAE"/>
    <w:rsid w:val="087E1A5C"/>
    <w:rsid w:val="08B576D2"/>
    <w:rsid w:val="08BA4CE8"/>
    <w:rsid w:val="08C23B9D"/>
    <w:rsid w:val="08C25591"/>
    <w:rsid w:val="08C82FD7"/>
    <w:rsid w:val="09016473"/>
    <w:rsid w:val="09287EA3"/>
    <w:rsid w:val="0969226A"/>
    <w:rsid w:val="09867E8F"/>
    <w:rsid w:val="09AC7EB3"/>
    <w:rsid w:val="09BA2AC6"/>
    <w:rsid w:val="09BC4A90"/>
    <w:rsid w:val="0A075D0B"/>
    <w:rsid w:val="0A200B7B"/>
    <w:rsid w:val="0A2032A3"/>
    <w:rsid w:val="0A316362"/>
    <w:rsid w:val="0A375EC4"/>
    <w:rsid w:val="0A5922DF"/>
    <w:rsid w:val="0A661DAB"/>
    <w:rsid w:val="0A7628C2"/>
    <w:rsid w:val="0AC736EC"/>
    <w:rsid w:val="0ADA341F"/>
    <w:rsid w:val="0AE55FEA"/>
    <w:rsid w:val="0AE75B3C"/>
    <w:rsid w:val="0B13248D"/>
    <w:rsid w:val="0B73117E"/>
    <w:rsid w:val="0B814FFF"/>
    <w:rsid w:val="0B8C258E"/>
    <w:rsid w:val="0BA04D77"/>
    <w:rsid w:val="0BA650B0"/>
    <w:rsid w:val="0C22507E"/>
    <w:rsid w:val="0C4D5E73"/>
    <w:rsid w:val="0C5A4558"/>
    <w:rsid w:val="0C8D626F"/>
    <w:rsid w:val="0CA5180B"/>
    <w:rsid w:val="0CA8290A"/>
    <w:rsid w:val="0D020A0B"/>
    <w:rsid w:val="0D076022"/>
    <w:rsid w:val="0D35B1ED"/>
    <w:rsid w:val="0D466B4A"/>
    <w:rsid w:val="0D474670"/>
    <w:rsid w:val="0D4E59FF"/>
    <w:rsid w:val="0D554FDF"/>
    <w:rsid w:val="0D605732"/>
    <w:rsid w:val="0D6C6840"/>
    <w:rsid w:val="0DC65EDD"/>
    <w:rsid w:val="0E19425F"/>
    <w:rsid w:val="0E255D69"/>
    <w:rsid w:val="0E5428E1"/>
    <w:rsid w:val="0E9438E5"/>
    <w:rsid w:val="0EB83A78"/>
    <w:rsid w:val="0ECC7523"/>
    <w:rsid w:val="0EE3138A"/>
    <w:rsid w:val="0EF97BEC"/>
    <w:rsid w:val="0F0F1F61"/>
    <w:rsid w:val="0F1A589F"/>
    <w:rsid w:val="0F492922"/>
    <w:rsid w:val="0F98263C"/>
    <w:rsid w:val="0FBD6E6C"/>
    <w:rsid w:val="10141182"/>
    <w:rsid w:val="101860EC"/>
    <w:rsid w:val="105A4603"/>
    <w:rsid w:val="1066305F"/>
    <w:rsid w:val="10833C11"/>
    <w:rsid w:val="10B1077E"/>
    <w:rsid w:val="10B97633"/>
    <w:rsid w:val="10C055FF"/>
    <w:rsid w:val="110C60E1"/>
    <w:rsid w:val="11367DBA"/>
    <w:rsid w:val="11772AA4"/>
    <w:rsid w:val="117B2B3A"/>
    <w:rsid w:val="118107EC"/>
    <w:rsid w:val="118976D5"/>
    <w:rsid w:val="119E7790"/>
    <w:rsid w:val="11CB3AE1"/>
    <w:rsid w:val="11E2071C"/>
    <w:rsid w:val="11F254F3"/>
    <w:rsid w:val="125C0BBE"/>
    <w:rsid w:val="12E00DC6"/>
    <w:rsid w:val="12E7492B"/>
    <w:rsid w:val="13250FB0"/>
    <w:rsid w:val="132F1E2E"/>
    <w:rsid w:val="134C0C32"/>
    <w:rsid w:val="13561AB1"/>
    <w:rsid w:val="135D7057"/>
    <w:rsid w:val="13622204"/>
    <w:rsid w:val="13D50BC4"/>
    <w:rsid w:val="143A0A8B"/>
    <w:rsid w:val="144401D2"/>
    <w:rsid w:val="14481326"/>
    <w:rsid w:val="1459605D"/>
    <w:rsid w:val="148443FC"/>
    <w:rsid w:val="14BC5CF7"/>
    <w:rsid w:val="14F21366"/>
    <w:rsid w:val="14F97A8F"/>
    <w:rsid w:val="156707FF"/>
    <w:rsid w:val="15C4051C"/>
    <w:rsid w:val="15DA2525"/>
    <w:rsid w:val="15F5110D"/>
    <w:rsid w:val="16123B79"/>
    <w:rsid w:val="165E0673"/>
    <w:rsid w:val="16677E15"/>
    <w:rsid w:val="167A5AB7"/>
    <w:rsid w:val="169E17A5"/>
    <w:rsid w:val="16AE42C4"/>
    <w:rsid w:val="16AE750E"/>
    <w:rsid w:val="16BB723D"/>
    <w:rsid w:val="16C86822"/>
    <w:rsid w:val="16DB7346"/>
    <w:rsid w:val="16DC6D2E"/>
    <w:rsid w:val="16F8689A"/>
    <w:rsid w:val="170D6860"/>
    <w:rsid w:val="17144C6E"/>
    <w:rsid w:val="17147CB9"/>
    <w:rsid w:val="171C4DC0"/>
    <w:rsid w:val="175977D3"/>
    <w:rsid w:val="17A32DEB"/>
    <w:rsid w:val="17B42302"/>
    <w:rsid w:val="17C36FE9"/>
    <w:rsid w:val="17EC6540"/>
    <w:rsid w:val="181B5077"/>
    <w:rsid w:val="182757CA"/>
    <w:rsid w:val="182F467F"/>
    <w:rsid w:val="18420856"/>
    <w:rsid w:val="184A3267"/>
    <w:rsid w:val="18534811"/>
    <w:rsid w:val="186504BB"/>
    <w:rsid w:val="186C7681"/>
    <w:rsid w:val="18811059"/>
    <w:rsid w:val="18C43019"/>
    <w:rsid w:val="18D93032"/>
    <w:rsid w:val="1914426C"/>
    <w:rsid w:val="19944C5E"/>
    <w:rsid w:val="19A445FC"/>
    <w:rsid w:val="19CC487B"/>
    <w:rsid w:val="19D674A8"/>
    <w:rsid w:val="1A1B37F8"/>
    <w:rsid w:val="1A377809"/>
    <w:rsid w:val="1A3A7A37"/>
    <w:rsid w:val="1A6525DA"/>
    <w:rsid w:val="1A872550"/>
    <w:rsid w:val="1A9FE8C6"/>
    <w:rsid w:val="1AB84DFF"/>
    <w:rsid w:val="1AD339E7"/>
    <w:rsid w:val="1ADA4D76"/>
    <w:rsid w:val="1B6B3C20"/>
    <w:rsid w:val="1BAE0122"/>
    <w:rsid w:val="1BBE1FA1"/>
    <w:rsid w:val="1BE8440E"/>
    <w:rsid w:val="1BF65BDF"/>
    <w:rsid w:val="1C4F6C08"/>
    <w:rsid w:val="1C633984"/>
    <w:rsid w:val="1C640D9B"/>
    <w:rsid w:val="1C9633EE"/>
    <w:rsid w:val="1C9C6D13"/>
    <w:rsid w:val="1D155CEE"/>
    <w:rsid w:val="1D4806BC"/>
    <w:rsid w:val="1D790876"/>
    <w:rsid w:val="1DA5166B"/>
    <w:rsid w:val="1DB60BF7"/>
    <w:rsid w:val="1DC00CAC"/>
    <w:rsid w:val="1DD2442A"/>
    <w:rsid w:val="1DDE4B7D"/>
    <w:rsid w:val="1DFC3255"/>
    <w:rsid w:val="1E0A3BC4"/>
    <w:rsid w:val="1E177358"/>
    <w:rsid w:val="1E25455A"/>
    <w:rsid w:val="1E740ACF"/>
    <w:rsid w:val="1E982F7E"/>
    <w:rsid w:val="1EBA7398"/>
    <w:rsid w:val="1EBF050A"/>
    <w:rsid w:val="1EDA5344"/>
    <w:rsid w:val="1EE461C3"/>
    <w:rsid w:val="1EE47F71"/>
    <w:rsid w:val="1F5C21FD"/>
    <w:rsid w:val="1F9A0F77"/>
    <w:rsid w:val="1FF35744"/>
    <w:rsid w:val="1FF6BC77"/>
    <w:rsid w:val="20476A09"/>
    <w:rsid w:val="207672EF"/>
    <w:rsid w:val="20A756FA"/>
    <w:rsid w:val="20AC0F62"/>
    <w:rsid w:val="20BA367F"/>
    <w:rsid w:val="20CE0ED9"/>
    <w:rsid w:val="20DF664B"/>
    <w:rsid w:val="20E453FA"/>
    <w:rsid w:val="20FA1CCE"/>
    <w:rsid w:val="212E1977"/>
    <w:rsid w:val="214E201A"/>
    <w:rsid w:val="21B24720"/>
    <w:rsid w:val="21C978F2"/>
    <w:rsid w:val="21DF2155"/>
    <w:rsid w:val="21EF7359"/>
    <w:rsid w:val="22031056"/>
    <w:rsid w:val="221338AA"/>
    <w:rsid w:val="2287164C"/>
    <w:rsid w:val="22877591"/>
    <w:rsid w:val="229121BE"/>
    <w:rsid w:val="23033BCA"/>
    <w:rsid w:val="23203CBF"/>
    <w:rsid w:val="232D4FA7"/>
    <w:rsid w:val="236553F8"/>
    <w:rsid w:val="23860B96"/>
    <w:rsid w:val="239A7054"/>
    <w:rsid w:val="23C6233B"/>
    <w:rsid w:val="240371BF"/>
    <w:rsid w:val="24066BDB"/>
    <w:rsid w:val="241039C9"/>
    <w:rsid w:val="247944F9"/>
    <w:rsid w:val="24E54A43"/>
    <w:rsid w:val="2527505B"/>
    <w:rsid w:val="255874B6"/>
    <w:rsid w:val="255D282B"/>
    <w:rsid w:val="25826736"/>
    <w:rsid w:val="25A16BBC"/>
    <w:rsid w:val="25C1100C"/>
    <w:rsid w:val="260F557C"/>
    <w:rsid w:val="26132AB2"/>
    <w:rsid w:val="26213859"/>
    <w:rsid w:val="263C68E5"/>
    <w:rsid w:val="265415D0"/>
    <w:rsid w:val="26A0099C"/>
    <w:rsid w:val="27035654"/>
    <w:rsid w:val="276C4FA7"/>
    <w:rsid w:val="277C574E"/>
    <w:rsid w:val="278422F1"/>
    <w:rsid w:val="278A3680"/>
    <w:rsid w:val="27A209C9"/>
    <w:rsid w:val="27AE0637"/>
    <w:rsid w:val="27D019DA"/>
    <w:rsid w:val="27F754CA"/>
    <w:rsid w:val="281408E2"/>
    <w:rsid w:val="28B9421C"/>
    <w:rsid w:val="28C811D6"/>
    <w:rsid w:val="28DE3C83"/>
    <w:rsid w:val="28F214DC"/>
    <w:rsid w:val="28FB0124"/>
    <w:rsid w:val="292673D8"/>
    <w:rsid w:val="295201CD"/>
    <w:rsid w:val="296879F1"/>
    <w:rsid w:val="29BB5D72"/>
    <w:rsid w:val="29CD2BB4"/>
    <w:rsid w:val="29D62BAC"/>
    <w:rsid w:val="29F64FFC"/>
    <w:rsid w:val="29F809BF"/>
    <w:rsid w:val="29FD04D3"/>
    <w:rsid w:val="2A1C2CB5"/>
    <w:rsid w:val="2A336250"/>
    <w:rsid w:val="2AA66A22"/>
    <w:rsid w:val="2AEA0948"/>
    <w:rsid w:val="2B457FE9"/>
    <w:rsid w:val="2B6C5576"/>
    <w:rsid w:val="2B8723B0"/>
    <w:rsid w:val="2BC929C8"/>
    <w:rsid w:val="2BEF7F55"/>
    <w:rsid w:val="2BFF7BC6"/>
    <w:rsid w:val="2C0954BB"/>
    <w:rsid w:val="2C1125C1"/>
    <w:rsid w:val="2C2045B2"/>
    <w:rsid w:val="2C701096"/>
    <w:rsid w:val="2C7072E8"/>
    <w:rsid w:val="2C8A61B5"/>
    <w:rsid w:val="2CAC2D20"/>
    <w:rsid w:val="2D1063D5"/>
    <w:rsid w:val="2D4F33A1"/>
    <w:rsid w:val="2D4F50EC"/>
    <w:rsid w:val="2DB0721A"/>
    <w:rsid w:val="2DB806C6"/>
    <w:rsid w:val="2DB87198"/>
    <w:rsid w:val="2DC518B5"/>
    <w:rsid w:val="2DCE076A"/>
    <w:rsid w:val="2DD35D80"/>
    <w:rsid w:val="2DD6761F"/>
    <w:rsid w:val="2DEC6E42"/>
    <w:rsid w:val="2DF04E50"/>
    <w:rsid w:val="2E1B14D5"/>
    <w:rsid w:val="2E404FC4"/>
    <w:rsid w:val="2E652751"/>
    <w:rsid w:val="2E701821"/>
    <w:rsid w:val="2EA63495"/>
    <w:rsid w:val="2ED05F32"/>
    <w:rsid w:val="2F012479"/>
    <w:rsid w:val="2F040D46"/>
    <w:rsid w:val="2F4F7689"/>
    <w:rsid w:val="2F5876BD"/>
    <w:rsid w:val="2F923A19"/>
    <w:rsid w:val="2F9B28CE"/>
    <w:rsid w:val="2FAC7341"/>
    <w:rsid w:val="2FAE5751"/>
    <w:rsid w:val="2FAF0127"/>
    <w:rsid w:val="2FB1A395"/>
    <w:rsid w:val="2FD9A7D8"/>
    <w:rsid w:val="2FDBF714"/>
    <w:rsid w:val="2FE91D28"/>
    <w:rsid w:val="30110DE2"/>
    <w:rsid w:val="30466CDD"/>
    <w:rsid w:val="30766E97"/>
    <w:rsid w:val="30872E52"/>
    <w:rsid w:val="308C51A6"/>
    <w:rsid w:val="30937A49"/>
    <w:rsid w:val="309537C1"/>
    <w:rsid w:val="310C5925"/>
    <w:rsid w:val="31436D79"/>
    <w:rsid w:val="3150593A"/>
    <w:rsid w:val="316311C9"/>
    <w:rsid w:val="319E66A5"/>
    <w:rsid w:val="319E720F"/>
    <w:rsid w:val="319F7F4E"/>
    <w:rsid w:val="32193F7E"/>
    <w:rsid w:val="328F5FEE"/>
    <w:rsid w:val="32BD1EF1"/>
    <w:rsid w:val="32BF0681"/>
    <w:rsid w:val="32C24615"/>
    <w:rsid w:val="3304709D"/>
    <w:rsid w:val="336A2CE3"/>
    <w:rsid w:val="337B4EF0"/>
    <w:rsid w:val="33BE302F"/>
    <w:rsid w:val="33C543BD"/>
    <w:rsid w:val="34761214"/>
    <w:rsid w:val="349D6851"/>
    <w:rsid w:val="34A9783B"/>
    <w:rsid w:val="34DB551B"/>
    <w:rsid w:val="34F44B1E"/>
    <w:rsid w:val="3505286C"/>
    <w:rsid w:val="350E769E"/>
    <w:rsid w:val="354B26A0"/>
    <w:rsid w:val="35717C54"/>
    <w:rsid w:val="35872484"/>
    <w:rsid w:val="35966EDD"/>
    <w:rsid w:val="35A95619"/>
    <w:rsid w:val="35D22DC1"/>
    <w:rsid w:val="35ED38DF"/>
    <w:rsid w:val="36666BBF"/>
    <w:rsid w:val="36820344"/>
    <w:rsid w:val="36AA5135"/>
    <w:rsid w:val="36BE0DA7"/>
    <w:rsid w:val="37182A56"/>
    <w:rsid w:val="373476A8"/>
    <w:rsid w:val="37645C9B"/>
    <w:rsid w:val="376B6AA6"/>
    <w:rsid w:val="376D39B2"/>
    <w:rsid w:val="37E16F03"/>
    <w:rsid w:val="37F53A3B"/>
    <w:rsid w:val="38033706"/>
    <w:rsid w:val="380D00E1"/>
    <w:rsid w:val="384D4981"/>
    <w:rsid w:val="389B6C89"/>
    <w:rsid w:val="38AF1198"/>
    <w:rsid w:val="38CD0DC8"/>
    <w:rsid w:val="38D17360"/>
    <w:rsid w:val="38D469F0"/>
    <w:rsid w:val="392E47B3"/>
    <w:rsid w:val="393C6ED0"/>
    <w:rsid w:val="395D163B"/>
    <w:rsid w:val="39627CCD"/>
    <w:rsid w:val="39691347"/>
    <w:rsid w:val="396F3F41"/>
    <w:rsid w:val="397BAF1F"/>
    <w:rsid w:val="39F868C9"/>
    <w:rsid w:val="39FA4695"/>
    <w:rsid w:val="3A7F376A"/>
    <w:rsid w:val="3A9C74FA"/>
    <w:rsid w:val="3A9E3272"/>
    <w:rsid w:val="3AB79AF3"/>
    <w:rsid w:val="3AE25855"/>
    <w:rsid w:val="3AFF4E43"/>
    <w:rsid w:val="3B201ED9"/>
    <w:rsid w:val="3B3D652B"/>
    <w:rsid w:val="3B4C2CCE"/>
    <w:rsid w:val="3B4F0A10"/>
    <w:rsid w:val="3B5E16D0"/>
    <w:rsid w:val="3B660234"/>
    <w:rsid w:val="3B7EF35A"/>
    <w:rsid w:val="3B9FDB6C"/>
    <w:rsid w:val="3BBF16F2"/>
    <w:rsid w:val="3BF5BC2F"/>
    <w:rsid w:val="3BFF41E4"/>
    <w:rsid w:val="3C046992"/>
    <w:rsid w:val="3C0E2679"/>
    <w:rsid w:val="3C1A101E"/>
    <w:rsid w:val="3C29300F"/>
    <w:rsid w:val="3C667DC0"/>
    <w:rsid w:val="3CC52D38"/>
    <w:rsid w:val="3CE37662"/>
    <w:rsid w:val="3CEBA265"/>
    <w:rsid w:val="3CFD6976"/>
    <w:rsid w:val="3D197528"/>
    <w:rsid w:val="3D1D0DC6"/>
    <w:rsid w:val="3D393726"/>
    <w:rsid w:val="3D3A1978"/>
    <w:rsid w:val="3D3F6F8E"/>
    <w:rsid w:val="3D98207C"/>
    <w:rsid w:val="3DEE7CF3"/>
    <w:rsid w:val="3DF02037"/>
    <w:rsid w:val="3E056B93"/>
    <w:rsid w:val="3E111FAD"/>
    <w:rsid w:val="3E640EDA"/>
    <w:rsid w:val="3E78745D"/>
    <w:rsid w:val="3EF618CF"/>
    <w:rsid w:val="3F177A97"/>
    <w:rsid w:val="3F55381A"/>
    <w:rsid w:val="3F7F7599"/>
    <w:rsid w:val="3F827606"/>
    <w:rsid w:val="3FCF485A"/>
    <w:rsid w:val="3FDF2363"/>
    <w:rsid w:val="3FF4CAE0"/>
    <w:rsid w:val="3FF7B227"/>
    <w:rsid w:val="40534AFF"/>
    <w:rsid w:val="406D3E12"/>
    <w:rsid w:val="40C15F0C"/>
    <w:rsid w:val="40D95004"/>
    <w:rsid w:val="410772DC"/>
    <w:rsid w:val="41263FC1"/>
    <w:rsid w:val="416845DA"/>
    <w:rsid w:val="4174728F"/>
    <w:rsid w:val="417D62D7"/>
    <w:rsid w:val="41825A27"/>
    <w:rsid w:val="41A5138A"/>
    <w:rsid w:val="41AF3FB7"/>
    <w:rsid w:val="41B643F6"/>
    <w:rsid w:val="41BC3E64"/>
    <w:rsid w:val="41C23CEA"/>
    <w:rsid w:val="422C1F22"/>
    <w:rsid w:val="425272A4"/>
    <w:rsid w:val="42890B27"/>
    <w:rsid w:val="42C341BE"/>
    <w:rsid w:val="42F02AD9"/>
    <w:rsid w:val="430976F7"/>
    <w:rsid w:val="432B58BF"/>
    <w:rsid w:val="435272F0"/>
    <w:rsid w:val="436112E1"/>
    <w:rsid w:val="43A85162"/>
    <w:rsid w:val="44155EF0"/>
    <w:rsid w:val="443D1D4E"/>
    <w:rsid w:val="44414D1E"/>
    <w:rsid w:val="44E268DA"/>
    <w:rsid w:val="45034D45"/>
    <w:rsid w:val="451F3201"/>
    <w:rsid w:val="453E18DA"/>
    <w:rsid w:val="45412BC0"/>
    <w:rsid w:val="45717F01"/>
    <w:rsid w:val="45726666"/>
    <w:rsid w:val="459B31D0"/>
    <w:rsid w:val="46584C1D"/>
    <w:rsid w:val="46B04A59"/>
    <w:rsid w:val="46C67DD9"/>
    <w:rsid w:val="46D4275D"/>
    <w:rsid w:val="46EB0241"/>
    <w:rsid w:val="46F5246C"/>
    <w:rsid w:val="474A7CB7"/>
    <w:rsid w:val="47A143A2"/>
    <w:rsid w:val="47BC20B2"/>
    <w:rsid w:val="48027497"/>
    <w:rsid w:val="48671147"/>
    <w:rsid w:val="486A6C7A"/>
    <w:rsid w:val="487800CD"/>
    <w:rsid w:val="48BB76E5"/>
    <w:rsid w:val="48D80297"/>
    <w:rsid w:val="48FF3A76"/>
    <w:rsid w:val="49470F79"/>
    <w:rsid w:val="495A25B3"/>
    <w:rsid w:val="49C44B93"/>
    <w:rsid w:val="49EB7B56"/>
    <w:rsid w:val="49FE71AD"/>
    <w:rsid w:val="4A3E2041"/>
    <w:rsid w:val="4A627F82"/>
    <w:rsid w:val="4A7933B4"/>
    <w:rsid w:val="4AD511E2"/>
    <w:rsid w:val="4B0E749A"/>
    <w:rsid w:val="4B1E7CBA"/>
    <w:rsid w:val="4B4F25DA"/>
    <w:rsid w:val="4B875EEF"/>
    <w:rsid w:val="4BAF3531"/>
    <w:rsid w:val="4BE068DB"/>
    <w:rsid w:val="4BE47806"/>
    <w:rsid w:val="4C3312B7"/>
    <w:rsid w:val="4C3677AE"/>
    <w:rsid w:val="4C7B3413"/>
    <w:rsid w:val="4C9E5354"/>
    <w:rsid w:val="4CC4300C"/>
    <w:rsid w:val="4CCA439B"/>
    <w:rsid w:val="4D111FCA"/>
    <w:rsid w:val="4D4E6D7A"/>
    <w:rsid w:val="4D577224"/>
    <w:rsid w:val="4DBF1CEB"/>
    <w:rsid w:val="4DCE3A17"/>
    <w:rsid w:val="4DCE7F49"/>
    <w:rsid w:val="4DED0341"/>
    <w:rsid w:val="4E0A0EF3"/>
    <w:rsid w:val="4E0B07C7"/>
    <w:rsid w:val="4E261AA5"/>
    <w:rsid w:val="4E4B5067"/>
    <w:rsid w:val="4E4C150B"/>
    <w:rsid w:val="4E8A5B90"/>
    <w:rsid w:val="4EAB630A"/>
    <w:rsid w:val="4EB26E94"/>
    <w:rsid w:val="4ECE2238"/>
    <w:rsid w:val="4ED36436"/>
    <w:rsid w:val="4EEA7A48"/>
    <w:rsid w:val="4EEB0EF5"/>
    <w:rsid w:val="4F833267"/>
    <w:rsid w:val="4FB629B4"/>
    <w:rsid w:val="4FE9BD67"/>
    <w:rsid w:val="4FF05EC6"/>
    <w:rsid w:val="4FFB052F"/>
    <w:rsid w:val="4FFF6109"/>
    <w:rsid w:val="5003209D"/>
    <w:rsid w:val="502F2E92"/>
    <w:rsid w:val="503A5393"/>
    <w:rsid w:val="504A7CCC"/>
    <w:rsid w:val="505428F9"/>
    <w:rsid w:val="506643DA"/>
    <w:rsid w:val="50DC4AB3"/>
    <w:rsid w:val="511962D4"/>
    <w:rsid w:val="51E97071"/>
    <w:rsid w:val="522E0F28"/>
    <w:rsid w:val="523E560F"/>
    <w:rsid w:val="524A3FB4"/>
    <w:rsid w:val="52552958"/>
    <w:rsid w:val="52573A7E"/>
    <w:rsid w:val="527C7EE5"/>
    <w:rsid w:val="52BB6C5F"/>
    <w:rsid w:val="52EC6E19"/>
    <w:rsid w:val="536F35A6"/>
    <w:rsid w:val="53700E36"/>
    <w:rsid w:val="53715FC2"/>
    <w:rsid w:val="537E6D0A"/>
    <w:rsid w:val="538C23AA"/>
    <w:rsid w:val="53A56FC8"/>
    <w:rsid w:val="53BF62DB"/>
    <w:rsid w:val="53F21C3B"/>
    <w:rsid w:val="53F74C96"/>
    <w:rsid w:val="540A51E2"/>
    <w:rsid w:val="542C1497"/>
    <w:rsid w:val="546D21DB"/>
    <w:rsid w:val="547E47A7"/>
    <w:rsid w:val="54992FD0"/>
    <w:rsid w:val="55004DFD"/>
    <w:rsid w:val="550F6DEF"/>
    <w:rsid w:val="558177AA"/>
    <w:rsid w:val="558477DD"/>
    <w:rsid w:val="563E7853"/>
    <w:rsid w:val="56925EB5"/>
    <w:rsid w:val="56AD68BF"/>
    <w:rsid w:val="56E47B74"/>
    <w:rsid w:val="575313AB"/>
    <w:rsid w:val="57603931"/>
    <w:rsid w:val="57671164"/>
    <w:rsid w:val="57743881"/>
    <w:rsid w:val="57BD3DD4"/>
    <w:rsid w:val="57C9597B"/>
    <w:rsid w:val="57F4051E"/>
    <w:rsid w:val="581F559B"/>
    <w:rsid w:val="583D0117"/>
    <w:rsid w:val="58420206"/>
    <w:rsid w:val="586E1570"/>
    <w:rsid w:val="58900682"/>
    <w:rsid w:val="58AE2DC2"/>
    <w:rsid w:val="58F73494"/>
    <w:rsid w:val="59254E33"/>
    <w:rsid w:val="592B4413"/>
    <w:rsid w:val="592B7F6F"/>
    <w:rsid w:val="597C6A1D"/>
    <w:rsid w:val="59852F32"/>
    <w:rsid w:val="599124C8"/>
    <w:rsid w:val="59943D66"/>
    <w:rsid w:val="59A87812"/>
    <w:rsid w:val="59B2735C"/>
    <w:rsid w:val="59CD0866"/>
    <w:rsid w:val="59D34DEB"/>
    <w:rsid w:val="59E7033A"/>
    <w:rsid w:val="59F24535"/>
    <w:rsid w:val="59FB3DE5"/>
    <w:rsid w:val="5A33357F"/>
    <w:rsid w:val="5A4E2167"/>
    <w:rsid w:val="5A7E0C16"/>
    <w:rsid w:val="5A8E4C59"/>
    <w:rsid w:val="5A981634"/>
    <w:rsid w:val="5AA24261"/>
    <w:rsid w:val="5AD77736"/>
    <w:rsid w:val="5AE81188"/>
    <w:rsid w:val="5AF92295"/>
    <w:rsid w:val="5AFA409D"/>
    <w:rsid w:val="5AFE3B8D"/>
    <w:rsid w:val="5B067D60"/>
    <w:rsid w:val="5B2869E2"/>
    <w:rsid w:val="5B3255E5"/>
    <w:rsid w:val="5B465534"/>
    <w:rsid w:val="5B6A1223"/>
    <w:rsid w:val="5BDD79E6"/>
    <w:rsid w:val="5BF561CA"/>
    <w:rsid w:val="5BFF5DFC"/>
    <w:rsid w:val="5C003935"/>
    <w:rsid w:val="5C0D1BAE"/>
    <w:rsid w:val="5C4952DC"/>
    <w:rsid w:val="5C875E04"/>
    <w:rsid w:val="5CA93FCD"/>
    <w:rsid w:val="5CD252D1"/>
    <w:rsid w:val="5CD71FC4"/>
    <w:rsid w:val="5CF60894"/>
    <w:rsid w:val="5D1F11B5"/>
    <w:rsid w:val="5D9F24B1"/>
    <w:rsid w:val="5DAE1B18"/>
    <w:rsid w:val="5DB669A1"/>
    <w:rsid w:val="5DCF1811"/>
    <w:rsid w:val="5DE7D9E5"/>
    <w:rsid w:val="5E3653EC"/>
    <w:rsid w:val="5E7D126D"/>
    <w:rsid w:val="5EB85D64"/>
    <w:rsid w:val="5ECEC941"/>
    <w:rsid w:val="5F273EB0"/>
    <w:rsid w:val="5F41673E"/>
    <w:rsid w:val="5F8108E9"/>
    <w:rsid w:val="5FA647F3"/>
    <w:rsid w:val="5FBF9FF3"/>
    <w:rsid w:val="5FCD4E2C"/>
    <w:rsid w:val="5FEF394A"/>
    <w:rsid w:val="5FF67715"/>
    <w:rsid w:val="602F47E9"/>
    <w:rsid w:val="604F6C39"/>
    <w:rsid w:val="60844B35"/>
    <w:rsid w:val="60940AF0"/>
    <w:rsid w:val="60FD0443"/>
    <w:rsid w:val="61143281"/>
    <w:rsid w:val="61151C31"/>
    <w:rsid w:val="613B0F6B"/>
    <w:rsid w:val="61532759"/>
    <w:rsid w:val="61736957"/>
    <w:rsid w:val="61826B9A"/>
    <w:rsid w:val="61A22D98"/>
    <w:rsid w:val="61AD3C17"/>
    <w:rsid w:val="61AF3E33"/>
    <w:rsid w:val="61D14C3C"/>
    <w:rsid w:val="6211064A"/>
    <w:rsid w:val="621974FF"/>
    <w:rsid w:val="62571DD5"/>
    <w:rsid w:val="625C4D86"/>
    <w:rsid w:val="62BF3928"/>
    <w:rsid w:val="62D33B51"/>
    <w:rsid w:val="62E573E1"/>
    <w:rsid w:val="62EF200D"/>
    <w:rsid w:val="632F68AE"/>
    <w:rsid w:val="63332842"/>
    <w:rsid w:val="63844520"/>
    <w:rsid w:val="63C01C8E"/>
    <w:rsid w:val="63C6720C"/>
    <w:rsid w:val="640454F6"/>
    <w:rsid w:val="64151F48"/>
    <w:rsid w:val="647F5392"/>
    <w:rsid w:val="64F8789F"/>
    <w:rsid w:val="654725D5"/>
    <w:rsid w:val="654E3963"/>
    <w:rsid w:val="65566374"/>
    <w:rsid w:val="657D7DA4"/>
    <w:rsid w:val="65931376"/>
    <w:rsid w:val="659A2704"/>
    <w:rsid w:val="65DB63B9"/>
    <w:rsid w:val="664B1D71"/>
    <w:rsid w:val="665C3D00"/>
    <w:rsid w:val="66A15D14"/>
    <w:rsid w:val="66DC6D4D"/>
    <w:rsid w:val="670D6F06"/>
    <w:rsid w:val="673D5A3D"/>
    <w:rsid w:val="676E3E49"/>
    <w:rsid w:val="678D429A"/>
    <w:rsid w:val="67A21D44"/>
    <w:rsid w:val="67AA3209"/>
    <w:rsid w:val="67B83316"/>
    <w:rsid w:val="67C74B4D"/>
    <w:rsid w:val="67D839B8"/>
    <w:rsid w:val="68242759"/>
    <w:rsid w:val="68330BEE"/>
    <w:rsid w:val="686E1F20"/>
    <w:rsid w:val="68C65505"/>
    <w:rsid w:val="68EF2D67"/>
    <w:rsid w:val="690B56C7"/>
    <w:rsid w:val="691427CE"/>
    <w:rsid w:val="69166546"/>
    <w:rsid w:val="693A521F"/>
    <w:rsid w:val="69823BDB"/>
    <w:rsid w:val="698D0931"/>
    <w:rsid w:val="69A00505"/>
    <w:rsid w:val="69E73BC5"/>
    <w:rsid w:val="6A1862EE"/>
    <w:rsid w:val="6A242EE4"/>
    <w:rsid w:val="6A55309E"/>
    <w:rsid w:val="6A7FE5F3"/>
    <w:rsid w:val="6A8D0A8A"/>
    <w:rsid w:val="6AD00976"/>
    <w:rsid w:val="6B053271"/>
    <w:rsid w:val="6B105217"/>
    <w:rsid w:val="6B476E8A"/>
    <w:rsid w:val="6BEF4048"/>
    <w:rsid w:val="6BF87B65"/>
    <w:rsid w:val="6C0410C4"/>
    <w:rsid w:val="6C4A05C8"/>
    <w:rsid w:val="6C5C0714"/>
    <w:rsid w:val="6C8742B8"/>
    <w:rsid w:val="6CCD33BF"/>
    <w:rsid w:val="6D045FB4"/>
    <w:rsid w:val="6D137AA3"/>
    <w:rsid w:val="6D637130"/>
    <w:rsid w:val="6D6535F8"/>
    <w:rsid w:val="6D68758C"/>
    <w:rsid w:val="6D9143ED"/>
    <w:rsid w:val="6DB41407"/>
    <w:rsid w:val="6DBF5E93"/>
    <w:rsid w:val="6DDA1287"/>
    <w:rsid w:val="6DEA7FA1"/>
    <w:rsid w:val="6DFF077E"/>
    <w:rsid w:val="6DFF1C9E"/>
    <w:rsid w:val="6E257019"/>
    <w:rsid w:val="6E401144"/>
    <w:rsid w:val="6E6B2E90"/>
    <w:rsid w:val="6E7A30D3"/>
    <w:rsid w:val="6E7E3605"/>
    <w:rsid w:val="6E7F4B8D"/>
    <w:rsid w:val="6E7FDCC7"/>
    <w:rsid w:val="6EAE7221"/>
    <w:rsid w:val="6EAF3BF9"/>
    <w:rsid w:val="6ED6A62E"/>
    <w:rsid w:val="6EE00B15"/>
    <w:rsid w:val="6EED7D49"/>
    <w:rsid w:val="6F4A76BE"/>
    <w:rsid w:val="6F6418D2"/>
    <w:rsid w:val="6F6FB3EB"/>
    <w:rsid w:val="6F8731EA"/>
    <w:rsid w:val="6F8C0E39"/>
    <w:rsid w:val="6FAF4FFE"/>
    <w:rsid w:val="6FCE6052"/>
    <w:rsid w:val="6FD57C00"/>
    <w:rsid w:val="6FED5B27"/>
    <w:rsid w:val="6FEFFFD8"/>
    <w:rsid w:val="6FF5CC65"/>
    <w:rsid w:val="6FFB47EC"/>
    <w:rsid w:val="6FFF034A"/>
    <w:rsid w:val="70074E3A"/>
    <w:rsid w:val="700D7581"/>
    <w:rsid w:val="70181D4A"/>
    <w:rsid w:val="702459EC"/>
    <w:rsid w:val="704716DB"/>
    <w:rsid w:val="705B5186"/>
    <w:rsid w:val="70E13317"/>
    <w:rsid w:val="70F536CF"/>
    <w:rsid w:val="7116659E"/>
    <w:rsid w:val="71211F2C"/>
    <w:rsid w:val="712437CA"/>
    <w:rsid w:val="712A28F1"/>
    <w:rsid w:val="714300F4"/>
    <w:rsid w:val="715C0E4B"/>
    <w:rsid w:val="719E532A"/>
    <w:rsid w:val="71C823A7"/>
    <w:rsid w:val="71D23226"/>
    <w:rsid w:val="72233669"/>
    <w:rsid w:val="72281098"/>
    <w:rsid w:val="72347A3D"/>
    <w:rsid w:val="723E2669"/>
    <w:rsid w:val="72444124"/>
    <w:rsid w:val="7249791C"/>
    <w:rsid w:val="72734D90"/>
    <w:rsid w:val="728409C4"/>
    <w:rsid w:val="72C25048"/>
    <w:rsid w:val="72D64389"/>
    <w:rsid w:val="73221F8B"/>
    <w:rsid w:val="7332FE48"/>
    <w:rsid w:val="7343262D"/>
    <w:rsid w:val="73582084"/>
    <w:rsid w:val="735F5178"/>
    <w:rsid w:val="73AB61DA"/>
    <w:rsid w:val="73AD73D5"/>
    <w:rsid w:val="73B6EB34"/>
    <w:rsid w:val="73E831D5"/>
    <w:rsid w:val="73F27BAF"/>
    <w:rsid w:val="73FA497D"/>
    <w:rsid w:val="74060BC4"/>
    <w:rsid w:val="744731E5"/>
    <w:rsid w:val="749E65FC"/>
    <w:rsid w:val="74AF1175"/>
    <w:rsid w:val="74BBD01D"/>
    <w:rsid w:val="74D55507"/>
    <w:rsid w:val="74ED5379"/>
    <w:rsid w:val="75476CAA"/>
    <w:rsid w:val="75596878"/>
    <w:rsid w:val="75614FED"/>
    <w:rsid w:val="758A675F"/>
    <w:rsid w:val="75DEEEC2"/>
    <w:rsid w:val="75FE45EA"/>
    <w:rsid w:val="761E4C8C"/>
    <w:rsid w:val="764A5A81"/>
    <w:rsid w:val="76766876"/>
    <w:rsid w:val="768E37A6"/>
    <w:rsid w:val="769431A0"/>
    <w:rsid w:val="76E3355F"/>
    <w:rsid w:val="76E43953"/>
    <w:rsid w:val="76F1414E"/>
    <w:rsid w:val="76FF4ABD"/>
    <w:rsid w:val="76FF5125"/>
    <w:rsid w:val="77521E60"/>
    <w:rsid w:val="776F6FFA"/>
    <w:rsid w:val="778769C8"/>
    <w:rsid w:val="77925931"/>
    <w:rsid w:val="77A613DD"/>
    <w:rsid w:val="77A64F39"/>
    <w:rsid w:val="77DC22F5"/>
    <w:rsid w:val="78247F45"/>
    <w:rsid w:val="78600B26"/>
    <w:rsid w:val="7883171E"/>
    <w:rsid w:val="789B49C2"/>
    <w:rsid w:val="78A3591C"/>
    <w:rsid w:val="78CB38C4"/>
    <w:rsid w:val="78CF6711"/>
    <w:rsid w:val="79086DAD"/>
    <w:rsid w:val="79164340"/>
    <w:rsid w:val="79206F6D"/>
    <w:rsid w:val="79A951B4"/>
    <w:rsid w:val="79C124FE"/>
    <w:rsid w:val="79D7FD79"/>
    <w:rsid w:val="79DD6C0C"/>
    <w:rsid w:val="79EE5BA4"/>
    <w:rsid w:val="7A4B77BC"/>
    <w:rsid w:val="7A862E00"/>
    <w:rsid w:val="7A894339"/>
    <w:rsid w:val="7AD284E8"/>
    <w:rsid w:val="7AE02DCF"/>
    <w:rsid w:val="7AE55D78"/>
    <w:rsid w:val="7AEA7832"/>
    <w:rsid w:val="7AFF7572"/>
    <w:rsid w:val="7B2965AD"/>
    <w:rsid w:val="7B6C7DFB"/>
    <w:rsid w:val="7B783090"/>
    <w:rsid w:val="7B784E3E"/>
    <w:rsid w:val="7B786BEC"/>
    <w:rsid w:val="7BAC0940"/>
    <w:rsid w:val="7BB3231A"/>
    <w:rsid w:val="7BBFBED0"/>
    <w:rsid w:val="7BC3E394"/>
    <w:rsid w:val="7BDA3403"/>
    <w:rsid w:val="7BDF1FD3"/>
    <w:rsid w:val="7BFC15CB"/>
    <w:rsid w:val="7C1F3737"/>
    <w:rsid w:val="7C356D43"/>
    <w:rsid w:val="7C662EE9"/>
    <w:rsid w:val="7CBE4AD3"/>
    <w:rsid w:val="7CBFC87B"/>
    <w:rsid w:val="7CD24A22"/>
    <w:rsid w:val="7CE65DD7"/>
    <w:rsid w:val="7CFE0F48"/>
    <w:rsid w:val="7D050953"/>
    <w:rsid w:val="7D3251DF"/>
    <w:rsid w:val="7D3B4375"/>
    <w:rsid w:val="7D5A43EB"/>
    <w:rsid w:val="7D5D42EC"/>
    <w:rsid w:val="7D7C375D"/>
    <w:rsid w:val="7D7EC23E"/>
    <w:rsid w:val="7D893333"/>
    <w:rsid w:val="7D8F354A"/>
    <w:rsid w:val="7D935F5F"/>
    <w:rsid w:val="7E0B3D48"/>
    <w:rsid w:val="7E152EFD"/>
    <w:rsid w:val="7E3E236F"/>
    <w:rsid w:val="7E635932"/>
    <w:rsid w:val="7E697C9B"/>
    <w:rsid w:val="7E8ADEBF"/>
    <w:rsid w:val="7E8E4BE9"/>
    <w:rsid w:val="7EC42148"/>
    <w:rsid w:val="7ED22AB7"/>
    <w:rsid w:val="7EEF11D3"/>
    <w:rsid w:val="7EFE4840"/>
    <w:rsid w:val="7F0971A6"/>
    <w:rsid w:val="7F3F679B"/>
    <w:rsid w:val="7F413799"/>
    <w:rsid w:val="7F460DAF"/>
    <w:rsid w:val="7F4C286A"/>
    <w:rsid w:val="7F4FC4EF"/>
    <w:rsid w:val="7F5E4D54"/>
    <w:rsid w:val="7F6E0135"/>
    <w:rsid w:val="7F7678E7"/>
    <w:rsid w:val="7F79F205"/>
    <w:rsid w:val="7F8042C1"/>
    <w:rsid w:val="7FA30C79"/>
    <w:rsid w:val="7FA79C44"/>
    <w:rsid w:val="7FAF8ABF"/>
    <w:rsid w:val="7FB7269E"/>
    <w:rsid w:val="7FC96657"/>
    <w:rsid w:val="7FCE14D1"/>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7DAB09"/>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annotation text"/>
    <w:basedOn w:val="1"/>
    <w:semiHidden/>
    <w:unhideWhenUsed/>
    <w:qFormat/>
    <w:uiPriority w:val="99"/>
    <w:pPr>
      <w:jc w:val="left"/>
    </w:pPr>
  </w:style>
  <w:style w:type="paragraph" w:styleId="9">
    <w:name w:val="Body Text"/>
    <w:basedOn w:val="1"/>
    <w:link w:val="26"/>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9"/>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1"/>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列出段落1"/>
    <w:basedOn w:val="1"/>
    <w:unhideWhenUsed/>
    <w:qFormat/>
    <w:uiPriority w:val="0"/>
    <w:pPr>
      <w:ind w:firstLine="420" w:firstLineChars="200"/>
    </w:pPr>
  </w:style>
  <w:style w:type="character" w:customStyle="1" w:styleId="37">
    <w:name w:val="font101"/>
    <w:basedOn w:val="17"/>
    <w:qFormat/>
    <w:uiPriority w:val="0"/>
    <w:rPr>
      <w:rFonts w:hint="default" w:ascii="Times New Roman" w:hAnsi="Times New Roman" w:cs="Times New Roman"/>
      <w:color w:val="000000"/>
      <w:sz w:val="16"/>
      <w:szCs w:val="16"/>
      <w:u w:val="none"/>
    </w:rPr>
  </w:style>
  <w:style w:type="character" w:customStyle="1" w:styleId="38">
    <w:name w:val="font112"/>
    <w:basedOn w:val="1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hp\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hp\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hp\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hp\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hp\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hp\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单位：万元</a:t>
            </a:r>
          </a:p>
        </c:rich>
      </c:tx>
      <c:layout>
        <c:manualLayout>
          <c:xMode val="edge"/>
          <c:yMode val="edge"/>
          <c:x val="0.766973684210526"/>
          <c:y val="0.0173611111111111"/>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2023年</c:v>
                </c:pt>
                <c:pt idx="1">
                  <c:v>2024年</c:v>
                </c:pt>
              </c:strCache>
            </c:strRef>
          </c:cat>
          <c:val>
            <c:numRef>
              <c:f>'[新建 XLS 工作表.xls]Sheet1'!$B$2:$B$3</c:f>
              <c:numCache>
                <c:formatCode>General</c:formatCode>
                <c:ptCount val="2"/>
                <c:pt idx="0">
                  <c:v>5845.26</c:v>
                </c:pt>
                <c:pt idx="1">
                  <c:v>9939.97</c:v>
                </c:pt>
              </c:numCache>
            </c:numRef>
          </c:val>
        </c:ser>
        <c:dLbls>
          <c:showLegendKey val="0"/>
          <c:showVal val="1"/>
          <c:showCatName val="0"/>
          <c:showSerName val="0"/>
          <c:showPercent val="0"/>
          <c:showBubbleSize val="0"/>
        </c:dLbls>
        <c:gapWidth val="246"/>
        <c:overlap val="-28"/>
        <c:axId val="723288570"/>
        <c:axId val="481015759"/>
      </c:barChart>
      <c:catAx>
        <c:axId val="7232885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1015759"/>
        <c:crosses val="autoZero"/>
        <c:auto val="1"/>
        <c:lblAlgn val="ctr"/>
        <c:lblOffset val="100"/>
        <c:noMultiLvlLbl val="0"/>
      </c:catAx>
      <c:valAx>
        <c:axId val="48101575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3288570"/>
        <c:crosses val="autoZero"/>
        <c:crossBetween val="between"/>
      </c:valAx>
      <c:spPr>
        <a:noFill/>
        <a:ln>
          <a:noFill/>
        </a:ln>
        <a:effectLst/>
      </c:spPr>
    </c:plotArea>
    <c:plotVisOnly val="1"/>
    <c:dispBlanksAs val="gap"/>
    <c:showDLblsOverMax val="0"/>
    <c:extLst>
      <c:ext uri="{0b15fc19-7d7d-44ad-8c2d-2c3a37ce22c3}">
        <chartProps xmlns="https://web.wps.cn/et/2018/main" chartId="{586ac437-ade5-49ff-92a8-3b3e8dcd663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40.4%</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13.1%</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46.</a:t>
                    </a:r>
                    <a:r>
                      <a:rPr lang="en-US" altLang="zh-CN"/>
                      <a:t>5</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工作表.xls]Sheet1'!$A$2:$A$4</c:f>
              <c:strCache>
                <c:ptCount val="3"/>
                <c:pt idx="0">
                  <c:v>一般公共预算财政拨款收入</c:v>
                </c:pt>
                <c:pt idx="1">
                  <c:v>政府性基金预算财政拨款收入</c:v>
                </c:pt>
                <c:pt idx="2">
                  <c:v>事业收入</c:v>
                </c:pt>
              </c:strCache>
            </c:strRef>
          </c:cat>
          <c:val>
            <c:numRef>
              <c:f>'[新建 XLS 工作表.xls]Sheet1'!$B$2:$B$4</c:f>
              <c:numCache>
                <c:formatCode>0.00%</c:formatCode>
                <c:ptCount val="3"/>
                <c:pt idx="0">
                  <c:v>0.4041</c:v>
                </c:pt>
                <c:pt idx="1">
                  <c:v>0.1312</c:v>
                </c:pt>
                <c:pt idx="2">
                  <c:v>0.4647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c7a4ae-fddb-4acf-92d4-d2e6dc885b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105448613273298"/>
                  <c:y val="0.046496764170139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39.2%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60.8%</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工作表.xls]Sheet1'!$A$2:$A$4</c:f>
              <c:strCache>
                <c:ptCount val="3"/>
                <c:pt idx="0">
                  <c:v>基本支出</c:v>
                </c:pt>
                <c:pt idx="1">
                  <c:v>项目支出</c:v>
                </c:pt>
              </c:strCache>
            </c:strRef>
          </c:cat>
          <c:val>
            <c:numRef>
              <c:f>'[新建 XLS 工作表.xls]Sheet1'!$B$2:$B$4</c:f>
              <c:numCache>
                <c:formatCode>0.00%</c:formatCode>
                <c:ptCount val="3"/>
                <c:pt idx="0">
                  <c:v>0.392</c:v>
                </c:pt>
                <c:pt idx="1">
                  <c:v>0.608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ba26cfc-efc9-47fa-8db3-eec858183c6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单位：万元</a:t>
            </a:r>
          </a:p>
        </c:rich>
      </c:tx>
      <c:layout>
        <c:manualLayout>
          <c:xMode val="edge"/>
          <c:yMode val="edge"/>
          <c:x val="0.778815789473684"/>
          <c:y val="0.0347222222222222"/>
        </c:manualLayout>
      </c:layout>
      <c:overlay val="0"/>
      <c:spPr>
        <a:noFill/>
        <a:ln>
          <a:noFill/>
        </a:ln>
        <a:effectLst/>
      </c:spPr>
    </c:title>
    <c:autoTitleDeleted val="0"/>
    <c:plotArea>
      <c:layout/>
      <c:barChart>
        <c:barDir val="col"/>
        <c:grouping val="clustered"/>
        <c:varyColors val="0"/>
        <c:ser>
          <c:idx val="0"/>
          <c:order val="0"/>
          <c:tx>
            <c:strRef>
              <c:f>'[新建 XLS 工作表.xls]Sheet1'!$A$2</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工作表.xls]Sheet1'!$B$1:$C$1</c:f>
              <c:strCache>
                <c:ptCount val="2"/>
                <c:pt idx="0">
                  <c:v>收入</c:v>
                </c:pt>
                <c:pt idx="1">
                  <c:v>支出</c:v>
                </c:pt>
              </c:strCache>
            </c:strRef>
          </c:cat>
          <c:val>
            <c:numRef>
              <c:f>'[新建 XLS 工作表.xls]Sheet1'!$B$2:$C$2</c:f>
              <c:numCache>
                <c:formatCode>General</c:formatCode>
                <c:ptCount val="2"/>
                <c:pt idx="0">
                  <c:v>2658.17</c:v>
                </c:pt>
                <c:pt idx="1">
                  <c:v>2658.17</c:v>
                </c:pt>
              </c:numCache>
            </c:numRef>
          </c:val>
        </c:ser>
        <c:ser>
          <c:idx val="1"/>
          <c:order val="1"/>
          <c:tx>
            <c:strRef>
              <c:f>'[新建 XLS 工作表.xls]Sheet1'!$A$3</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工作表.xls]Sheet1'!$B$1:$C$1</c:f>
              <c:strCache>
                <c:ptCount val="2"/>
                <c:pt idx="0">
                  <c:v>收入</c:v>
                </c:pt>
                <c:pt idx="1">
                  <c:v>支出</c:v>
                </c:pt>
              </c:strCache>
            </c:strRef>
          </c:cat>
          <c:val>
            <c:numRef>
              <c:f>'[新建 XLS 工作表.xls]Sheet1'!$B$3:$C$3</c:f>
              <c:numCache>
                <c:formatCode>General</c:formatCode>
                <c:ptCount val="2"/>
                <c:pt idx="0">
                  <c:v>4941.71</c:v>
                </c:pt>
                <c:pt idx="1">
                  <c:v>4941.71</c:v>
                </c:pt>
              </c:numCache>
            </c:numRef>
          </c:val>
        </c:ser>
        <c:dLbls>
          <c:showLegendKey val="0"/>
          <c:showVal val="1"/>
          <c:showCatName val="0"/>
          <c:showSerName val="0"/>
          <c:showPercent val="0"/>
          <c:showBubbleSize val="0"/>
        </c:dLbls>
        <c:gapWidth val="246"/>
        <c:overlap val="-28"/>
        <c:axId val="423689790"/>
        <c:axId val="372967061"/>
      </c:barChart>
      <c:catAx>
        <c:axId val="4236897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2967061"/>
        <c:crosses val="autoZero"/>
        <c:auto val="1"/>
        <c:lblAlgn val="ctr"/>
        <c:lblOffset val="100"/>
        <c:noMultiLvlLbl val="0"/>
      </c:catAx>
      <c:valAx>
        <c:axId val="37296706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36897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4046133-d266-4392-8c2e-4f29a4a5c13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单位：万元</a:t>
            </a:r>
          </a:p>
        </c:rich>
      </c:tx>
      <c:layout>
        <c:manualLayout>
          <c:xMode val="edge"/>
          <c:yMode val="edge"/>
          <c:x val="0.761052631578947"/>
          <c:y val="0.0243055555555556"/>
        </c:manualLayout>
      </c:layout>
      <c:overlay val="0"/>
      <c:spPr>
        <a:noFill/>
        <a:ln>
          <a:noFill/>
        </a:ln>
        <a:effectLst/>
      </c:spPr>
    </c:title>
    <c:autoTitleDeleted val="0"/>
    <c:plotArea>
      <c:layout>
        <c:manualLayout>
          <c:layoutTarget val="inner"/>
          <c:xMode val="edge"/>
          <c:yMode val="edge"/>
          <c:x val="0.0828421052631579"/>
          <c:y val="0.179861111111111"/>
          <c:w val="0.888210526315789"/>
          <c:h val="0.71166666666666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2023年</c:v>
                </c:pt>
                <c:pt idx="1">
                  <c:v>2024年</c:v>
                </c:pt>
              </c:strCache>
            </c:strRef>
          </c:cat>
          <c:val>
            <c:numRef>
              <c:f>'[新建 XLS 工作表.xls]Sheet1'!$B$2:$B$3</c:f>
              <c:numCache>
                <c:formatCode>General</c:formatCode>
                <c:ptCount val="2"/>
                <c:pt idx="0">
                  <c:v>2658.17</c:v>
                </c:pt>
                <c:pt idx="1">
                  <c:v>3730.84</c:v>
                </c:pt>
              </c:numCache>
            </c:numRef>
          </c:val>
        </c:ser>
        <c:dLbls>
          <c:showLegendKey val="0"/>
          <c:showVal val="1"/>
          <c:showCatName val="0"/>
          <c:showSerName val="0"/>
          <c:showPercent val="0"/>
          <c:showBubbleSize val="0"/>
        </c:dLbls>
        <c:gapWidth val="246"/>
        <c:overlap val="-28"/>
        <c:axId val="941034286"/>
        <c:axId val="854168047"/>
      </c:barChart>
      <c:catAx>
        <c:axId val="9410342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4168047"/>
        <c:crosses val="autoZero"/>
        <c:auto val="1"/>
        <c:lblAlgn val="ctr"/>
        <c:lblOffset val="100"/>
        <c:noMultiLvlLbl val="0"/>
      </c:catAx>
      <c:valAx>
        <c:axId val="85416804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034286"/>
        <c:crosses val="autoZero"/>
        <c:crossBetween val="between"/>
      </c:valAx>
      <c:spPr>
        <a:noFill/>
        <a:ln>
          <a:noFill/>
        </a:ln>
        <a:effectLst/>
      </c:spPr>
    </c:plotArea>
    <c:plotVisOnly val="1"/>
    <c:dispBlanksAs val="gap"/>
    <c:showDLblsOverMax val="0"/>
    <c:extLst>
      <c:ext uri="{0b15fc19-7d7d-44ad-8c2d-2c3a37ce22c3}">
        <chartProps xmlns="https://web.wps.cn/et/2018/main" chartId="{bbddd8a0-d11e-489f-a698-2674145524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151049747577809"/>
                  <c:y val="0.019262986059503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a:t>
                    </a:r>
                    <a:r>
                      <a:rPr lang="en-US" altLang="zh-CN"/>
                      <a:t>2</a:t>
                    </a:r>
                    <a:r>
                      <a:t>%</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85.9%</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12.1%</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0.200072628130598"/>
                  <c:y val="-0.0085190113965124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a:t>
                    </a:r>
                    <a:r>
                      <a:rPr lang="en-US" altLang="zh-CN"/>
                      <a:t>8</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810526315789474"/>
                      <c:h val="0.0539351851851852"/>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工作表.xls]Sheet1'!$A$2:$A$5</c:f>
              <c:strCache>
                <c:ptCount val="4"/>
                <c:pt idx="0">
                  <c:v>教育支出</c:v>
                </c:pt>
                <c:pt idx="1">
                  <c:v>社会保障和就业支出</c:v>
                </c:pt>
                <c:pt idx="2">
                  <c:v>卫生健康支出</c:v>
                </c:pt>
                <c:pt idx="3">
                  <c:v>住房保障支出</c:v>
                </c:pt>
              </c:strCache>
            </c:strRef>
          </c:cat>
          <c:val>
            <c:numRef>
              <c:f>'[新建 XLS 工作表.xls]Sheet1'!$B$2:$B$5</c:f>
              <c:numCache>
                <c:formatCode>0.00%</c:formatCode>
                <c:ptCount val="4"/>
                <c:pt idx="0">
                  <c:v>0.0016</c:v>
                </c:pt>
                <c:pt idx="1">
                  <c:v>0.8592</c:v>
                </c:pt>
                <c:pt idx="2">
                  <c:v>0.1215</c:v>
                </c:pt>
                <c:pt idx="3">
                  <c:v>0.0177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fdae22f-17b2-440e-873c-dfd01660e1e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4952</Words>
  <Characters>5474</Characters>
  <Lines>61</Lines>
  <Paragraphs>17</Paragraphs>
  <TotalTime>2</TotalTime>
  <ScaleCrop>false</ScaleCrop>
  <LinksUpToDate>false</LinksUpToDate>
  <CharactersWithSpaces>5620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WPS_1673398492</cp:lastModifiedBy>
  <cp:lastPrinted>2025-08-07T09:34:00Z</cp:lastPrinted>
  <dcterms:modified xsi:type="dcterms:W3CDTF">2025-09-08T08:34:38Z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FC5AF7CF66CF49B8B23755F4D337E303_13</vt:lpwstr>
  </property>
  <property fmtid="{D5CDD505-2E9C-101B-9397-08002B2CF9AE}" pid="4" name="KSOTemplateDocerSaveRecord">
    <vt:lpwstr>eyJoZGlkIjoiNjJkYzdmMjgyOThiNjc3ZWIyMzAxOTJlOWIyYWUzMmUiLCJ1c2VySWQiOiIxNDY3NjYxODQ2In0=</vt:lpwstr>
  </property>
</Properties>
</file>